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Segoe UI" w:eastAsia="仿宋_GB2312" w:cs="Segoe UI"/>
          <w:b/>
          <w:bCs/>
          <w:color w:val="333333"/>
          <w:kern w:val="0"/>
          <w:sz w:val="28"/>
          <w:szCs w:val="28"/>
        </w:rPr>
      </w:pPr>
      <w:r>
        <w:rPr>
          <w:rFonts w:hint="eastAsia" w:ascii="仿宋_GB2312" w:hAnsi="Segoe UI" w:eastAsia="仿宋_GB2312" w:cs="Segoe UI"/>
          <w:b/>
          <w:bCs/>
          <w:color w:val="333333"/>
          <w:kern w:val="0"/>
          <w:sz w:val="28"/>
          <w:szCs w:val="28"/>
        </w:rPr>
        <w:t>附件1：</w:t>
      </w:r>
    </w:p>
    <w:tbl>
      <w:tblPr>
        <w:tblStyle w:val="7"/>
        <w:tblW w:w="0" w:type="auto"/>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9"/>
        <w:gridCol w:w="2121"/>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9"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品名</w:t>
            </w:r>
          </w:p>
        </w:tc>
        <w:tc>
          <w:tcPr>
            <w:tcW w:w="2121"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数量（台）</w:t>
            </w:r>
          </w:p>
        </w:tc>
        <w:tc>
          <w:tcPr>
            <w:tcW w:w="3025"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最高限价（人民币）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9"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医用冷冻冷藏箱</w:t>
            </w:r>
          </w:p>
        </w:tc>
        <w:tc>
          <w:tcPr>
            <w:tcW w:w="2121"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3025"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1万元/台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9"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医用立式冷藏柜</w:t>
            </w:r>
          </w:p>
        </w:tc>
        <w:tc>
          <w:tcPr>
            <w:tcW w:w="2121"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3025"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0.7万元/台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9"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阴凉柜（医用）</w:t>
            </w:r>
          </w:p>
        </w:tc>
        <w:tc>
          <w:tcPr>
            <w:tcW w:w="2121"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3025" w:type="dxa"/>
          </w:tcPr>
          <w:p>
            <w:pPr>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0.5万元/台</w:t>
            </w:r>
          </w:p>
        </w:tc>
      </w:tr>
    </w:tbl>
    <w:p>
      <w:pPr>
        <w:rPr>
          <w:rFonts w:ascii="宋体" w:hAnsi="宋体" w:eastAsia="宋体" w:cs="宋体"/>
          <w:color w:val="333333"/>
          <w:kern w:val="0"/>
          <w:sz w:val="28"/>
          <w:szCs w:val="28"/>
        </w:rPr>
      </w:pPr>
    </w:p>
    <w:p>
      <w:pPr>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冷冻冷藏箱</w:t>
      </w:r>
    </w:p>
    <w:p>
      <w:pPr>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1</w:t>
      </w:r>
      <w:r>
        <w:rPr>
          <w:rFonts w:ascii="Times New Roman" w:hAnsi="Times New Roman" w:eastAsia="宋体" w:cs="Times New Roman"/>
          <w:color w:val="333333"/>
          <w:kern w:val="0"/>
          <w:sz w:val="24"/>
          <w:szCs w:val="24"/>
        </w:rPr>
        <w:t>.用途：</w:t>
      </w:r>
      <w:r>
        <w:rPr>
          <w:rFonts w:hint="eastAsia" w:ascii="Times New Roman" w:hAnsi="Times New Roman" w:eastAsia="宋体" w:cs="Times New Roman"/>
          <w:color w:val="333333"/>
          <w:kern w:val="0"/>
          <w:sz w:val="24"/>
          <w:szCs w:val="24"/>
        </w:rPr>
        <w:t>适用于医疗行业冷藏冷冻试剂、药品、疫苗等生物制品</w:t>
      </w:r>
      <w:r>
        <w:rPr>
          <w:rFonts w:ascii="Times New Roman" w:hAnsi="Times New Roman" w:eastAsia="宋体" w:cs="Times New Roman"/>
          <w:color w:val="333333"/>
          <w:kern w:val="0"/>
          <w:sz w:val="24"/>
          <w:szCs w:val="24"/>
        </w:rPr>
        <w:t>；</w:t>
      </w:r>
    </w:p>
    <w:p>
      <w:pPr>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24"/>
          <w:szCs w:val="24"/>
        </w:rPr>
        <w:t>.技术参数要求：</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2.1 主要技术参数及配置：（投标时须提供彩页、操作手册、产品说明书等资料以验证“*”参数的真实性）</w:t>
      </w:r>
    </w:p>
    <w:p>
      <w:pPr>
        <w:widowControl/>
        <w:spacing w:line="360" w:lineRule="auto"/>
        <w:jc w:val="left"/>
        <w:rPr>
          <w:rFonts w:ascii="Times New Roman" w:hAnsi="Times New Roman" w:eastAsia="宋体" w:cs="Times New Roman"/>
          <w:color w:val="333333"/>
          <w:kern w:val="0"/>
          <w:sz w:val="24"/>
          <w:szCs w:val="24"/>
          <w:highlight w:val="yellow"/>
        </w:rPr>
      </w:pPr>
      <w:r>
        <w:rPr>
          <w:rFonts w:hint="eastAsia" w:ascii="Times New Roman" w:hAnsi="Times New Roman" w:eastAsia="宋体" w:cs="Times New Roman"/>
          <w:color w:val="333333"/>
          <w:kern w:val="0"/>
          <w:sz w:val="24"/>
          <w:szCs w:val="24"/>
        </w:rPr>
        <w:t>*2.2</w:t>
      </w:r>
      <w:r>
        <w:rPr>
          <w:rFonts w:hint="eastAsia" w:ascii="Times New Roman" w:hAnsi="Times New Roman" w:eastAsia="宋体" w:cs="Times New Roman"/>
          <w:color w:val="333333"/>
          <w:kern w:val="0"/>
          <w:sz w:val="24"/>
          <w:szCs w:val="24"/>
          <w:lang w:val="en-US" w:eastAsia="zh-CN"/>
        </w:rPr>
        <w:t>冷藏容积</w:t>
      </w:r>
      <w:r>
        <w:rPr>
          <w:rFonts w:hint="eastAsia" w:ascii="Times New Roman" w:hAnsi="Times New Roman" w:eastAsia="宋体" w:cs="Times New Roman"/>
          <w:color w:val="333333"/>
          <w:kern w:val="0"/>
          <w:sz w:val="24"/>
          <w:szCs w:val="24"/>
        </w:rPr>
        <w:t>≥180L，冷冻容积≥80L；</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2.3制冷方式：风冷，无氟；</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*2.4 温度控制：微电脑控制，数字温度显示，可通过调整设定温度使箱内冷藏温度恒定控制在2～8℃；冷冻温度需满足-20</w:t>
      </w:r>
      <w:r>
        <w:rPr>
          <w:rFonts w:ascii="Times New Roman" w:hAnsi="Times New Roman" w:eastAsia="宋体" w:cs="Times New Roman"/>
          <w:color w:val="333333"/>
          <w:kern w:val="0"/>
          <w:sz w:val="24"/>
          <w:szCs w:val="24"/>
        </w:rPr>
        <w:t>℃</w:t>
      </w:r>
      <w:r>
        <w:rPr>
          <w:rFonts w:hint="eastAsia" w:ascii="Times New Roman" w:hAnsi="Times New Roman" w:eastAsia="宋体" w:cs="Times New Roman"/>
          <w:color w:val="333333"/>
          <w:kern w:val="0"/>
          <w:sz w:val="24"/>
          <w:szCs w:val="24"/>
        </w:rPr>
        <w:t>以下保存，具体参数可有变动。调节增量为1℃，显示精度1℃；</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2.5安全系统：≥两种故障报警（高低温报警、传感器故障报警）；≥两种报警方式（声音蜂鸣报警、灯光闪烁报警）；开机延时保护；所有独立部件安全接地；</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2.6 高效节能压缩机及风机；</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24"/>
          <w:szCs w:val="24"/>
        </w:rPr>
        <w:t>.</w:t>
      </w:r>
      <w:r>
        <w:rPr>
          <w:rFonts w:hint="eastAsia" w:ascii="Times New Roman" w:hAnsi="Times New Roman" w:eastAsia="宋体" w:cs="Times New Roman"/>
          <w:color w:val="333333"/>
          <w:kern w:val="0"/>
          <w:sz w:val="24"/>
          <w:szCs w:val="24"/>
        </w:rPr>
        <w:t>7</w:t>
      </w:r>
      <w:r>
        <w:rPr>
          <w:rFonts w:ascii="Times New Roman" w:hAnsi="Times New Roman" w:eastAsia="宋体" w:cs="Times New Roman"/>
          <w:color w:val="333333"/>
          <w:kern w:val="0"/>
          <w:sz w:val="24"/>
          <w:szCs w:val="24"/>
        </w:rPr>
        <w:t>自动除霜功能</w:t>
      </w:r>
      <w:r>
        <w:rPr>
          <w:rFonts w:hint="eastAsia" w:ascii="Times New Roman" w:hAnsi="Times New Roman" w:eastAsia="宋体" w:cs="Times New Roman"/>
          <w:color w:val="333333"/>
          <w:kern w:val="0"/>
          <w:sz w:val="24"/>
          <w:szCs w:val="24"/>
        </w:rPr>
        <w:t>；</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2.8 带锁；</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*2.9 质保期：原厂整机质保≥24个月；</w:t>
      </w:r>
      <w:r>
        <w:rPr>
          <w:rFonts w:ascii="Times New Roman" w:hAnsi="Times New Roman" w:eastAsia="宋体" w:cs="Times New Roman"/>
          <w:color w:val="333333"/>
          <w:kern w:val="0"/>
          <w:sz w:val="24"/>
          <w:szCs w:val="24"/>
        </w:rPr>
        <w:t>保质期从完成所有安装、调试、设备运行良好，以及完成所有培训后一个月</w:t>
      </w:r>
      <w:r>
        <w:rPr>
          <w:rFonts w:hint="eastAsia" w:ascii="Times New Roman" w:hAnsi="Times New Roman" w:eastAsia="宋体" w:cs="Times New Roman"/>
          <w:color w:val="333333"/>
          <w:kern w:val="0"/>
          <w:sz w:val="24"/>
          <w:szCs w:val="24"/>
        </w:rPr>
        <w:t>开始；</w:t>
      </w:r>
    </w:p>
    <w:p>
      <w:pPr>
        <w:widowControl/>
        <w:spacing w:line="360" w:lineRule="auto"/>
        <w:jc w:val="left"/>
        <w:rPr>
          <w:rFonts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立式冷藏柜</w:t>
      </w:r>
    </w:p>
    <w:p>
      <w:pPr>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1</w:t>
      </w:r>
      <w:r>
        <w:rPr>
          <w:rFonts w:ascii="Times New Roman" w:hAnsi="Times New Roman" w:eastAsia="宋体" w:cs="Times New Roman"/>
          <w:color w:val="333333"/>
          <w:kern w:val="0"/>
          <w:sz w:val="24"/>
          <w:szCs w:val="24"/>
        </w:rPr>
        <w:t>.用途：药物储存</w:t>
      </w:r>
    </w:p>
    <w:p>
      <w:pPr>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24"/>
          <w:szCs w:val="24"/>
        </w:rPr>
        <w:t>技术参数要求：</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2.1 主要技术参数及配置：（投标时须提供彩页、操作手册、产品说明书等资料以验证“*”参数的真实性）</w:t>
      </w:r>
    </w:p>
    <w:p>
      <w:pPr>
        <w:widowControl/>
        <w:shd w:val="clear" w:color="auto" w:fill="FFFFFF"/>
        <w:wordWrap w:val="0"/>
        <w:spacing w:line="225" w:lineRule="atLeast"/>
        <w:jc w:val="left"/>
        <w:rPr>
          <w:rFonts w:ascii="Segoe UI" w:hAnsi="Segoe UI" w:eastAsia="宋体" w:cs="Segoe UI"/>
          <w:color w:val="333333"/>
          <w:kern w:val="0"/>
          <w:sz w:val="24"/>
          <w:szCs w:val="24"/>
        </w:rPr>
      </w:pPr>
      <w:r>
        <w:rPr>
          <w:rFonts w:hint="eastAsia" w:ascii="宋体" w:hAnsi="宋体" w:eastAsia="宋体" w:cs="Segoe UI"/>
          <w:color w:val="333333"/>
          <w:kern w:val="0"/>
          <w:sz w:val="24"/>
          <w:szCs w:val="24"/>
        </w:rPr>
        <w:t>*2.2冷藏容积≥</w:t>
      </w:r>
      <w:r>
        <w:rPr>
          <w:rFonts w:hint="eastAsia" w:ascii="Times New Roman" w:hAnsi="Times New Roman" w:eastAsia="宋体" w:cs="Times New Roman"/>
          <w:color w:val="333333"/>
          <w:kern w:val="0"/>
          <w:sz w:val="24"/>
          <w:szCs w:val="24"/>
        </w:rPr>
        <w:t>300L</w:t>
      </w:r>
      <w:r>
        <w:rPr>
          <w:rFonts w:hint="eastAsia" w:ascii="宋体" w:hAnsi="宋体" w:eastAsia="宋体" w:cs="Segoe UI"/>
          <w:color w:val="333333"/>
          <w:kern w:val="0"/>
          <w:sz w:val="24"/>
          <w:szCs w:val="24"/>
        </w:rPr>
        <w:t>；</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2.3制冷方式：风冷，无氟；</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*2.4 温度控制：微电脑控制，数字温度显示，可通过调整设定温度使箱内冷藏温度恒定控制在2～8℃。调节增量为1℃，显示精度1℃；</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2.5安全系统：≥两种故障报警（高低温报警、传感器故障报警）；≥两种报警方式（声音蜂鸣报警、灯光闪烁报警）；开机延时保护；所有独立部件安全接地；</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2.6 高效节能压缩机及风机；</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24"/>
          <w:szCs w:val="24"/>
        </w:rPr>
        <w:t>.</w:t>
      </w:r>
      <w:r>
        <w:rPr>
          <w:rFonts w:hint="eastAsia" w:ascii="Times New Roman" w:hAnsi="Times New Roman" w:eastAsia="宋体" w:cs="Times New Roman"/>
          <w:color w:val="333333"/>
          <w:kern w:val="0"/>
          <w:sz w:val="24"/>
          <w:szCs w:val="24"/>
        </w:rPr>
        <w:t xml:space="preserve">7 </w:t>
      </w:r>
      <w:r>
        <w:rPr>
          <w:rFonts w:ascii="Times New Roman" w:hAnsi="Times New Roman" w:eastAsia="宋体" w:cs="Times New Roman"/>
          <w:color w:val="333333"/>
          <w:kern w:val="0"/>
          <w:sz w:val="24"/>
          <w:szCs w:val="24"/>
        </w:rPr>
        <w:t>自动除霜功能</w:t>
      </w:r>
      <w:r>
        <w:rPr>
          <w:rFonts w:hint="eastAsia" w:ascii="Times New Roman" w:hAnsi="Times New Roman" w:eastAsia="宋体" w:cs="Times New Roman"/>
          <w:color w:val="333333"/>
          <w:kern w:val="0"/>
          <w:sz w:val="24"/>
          <w:szCs w:val="24"/>
        </w:rPr>
        <w:t>；</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2.8 带锁；</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*2.9 透明玻璃门，内设照明灯，方便随时观察箱内物品</w:t>
      </w:r>
    </w:p>
    <w:p>
      <w:pPr>
        <w:widowControl/>
        <w:spacing w:line="360" w:lineRule="auto"/>
        <w:jc w:val="left"/>
        <w:rPr>
          <w:rFonts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4"/>
          <w:szCs w:val="24"/>
        </w:rPr>
        <w:t>*2.10 质保期：原厂整机质保≥24个月；</w:t>
      </w:r>
      <w:r>
        <w:rPr>
          <w:rFonts w:ascii="Times New Roman" w:hAnsi="Times New Roman" w:eastAsia="宋体" w:cs="Times New Roman"/>
          <w:color w:val="333333"/>
          <w:kern w:val="0"/>
          <w:sz w:val="24"/>
          <w:szCs w:val="24"/>
        </w:rPr>
        <w:t>保质期从完成所有安装、调试、设备运行良好，以及完成所有培训后一个月</w:t>
      </w:r>
      <w:r>
        <w:rPr>
          <w:rFonts w:hint="eastAsia" w:ascii="Times New Roman" w:hAnsi="Times New Roman" w:eastAsia="宋体" w:cs="Times New Roman"/>
          <w:color w:val="333333"/>
          <w:kern w:val="0"/>
          <w:sz w:val="24"/>
          <w:szCs w:val="24"/>
        </w:rPr>
        <w:t>开始；</w:t>
      </w:r>
    </w:p>
    <w:p>
      <w:pPr>
        <w:rPr>
          <w:rFonts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阴凉柜</w:t>
      </w:r>
    </w:p>
    <w:p>
      <w:pPr>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1</w:t>
      </w:r>
      <w:r>
        <w:rPr>
          <w:rFonts w:ascii="Times New Roman" w:hAnsi="Times New Roman" w:eastAsia="宋体" w:cs="Times New Roman"/>
          <w:color w:val="333333"/>
          <w:kern w:val="0"/>
          <w:sz w:val="24"/>
          <w:szCs w:val="24"/>
        </w:rPr>
        <w:t>.用途：药物储存</w:t>
      </w:r>
    </w:p>
    <w:p>
      <w:pPr>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24"/>
          <w:szCs w:val="24"/>
        </w:rPr>
        <w:t>.技术参数要求：</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2.1 主要技术参数及配置：（投标时须提供彩页、操作手册、产品说明书等资料以验证“*”参数的真实性）</w:t>
      </w:r>
    </w:p>
    <w:p>
      <w:pPr>
        <w:widowControl/>
        <w:spacing w:line="360" w:lineRule="auto"/>
        <w:jc w:val="left"/>
        <w:rPr>
          <w:rFonts w:ascii="Times New Roman" w:hAnsi="Times New Roman" w:eastAsia="宋体" w:cs="Times New Roman"/>
          <w:color w:val="333333"/>
          <w:kern w:val="0"/>
          <w:sz w:val="24"/>
          <w:szCs w:val="24"/>
          <w:highlight w:val="yellow"/>
        </w:rPr>
      </w:pPr>
      <w:r>
        <w:rPr>
          <w:rFonts w:hint="eastAsia" w:ascii="Times New Roman" w:hAnsi="Times New Roman" w:eastAsia="宋体" w:cs="Times New Roman"/>
          <w:color w:val="333333"/>
          <w:kern w:val="0"/>
          <w:sz w:val="24"/>
          <w:szCs w:val="24"/>
        </w:rPr>
        <w:t>*2.2有效容积≥300L；</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2.3制冷方式：风冷，无氟；</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*2.4 温度控制：微电脑控制，数字温度显示，可通过调整设定温度使箱内温度恒定控制在8～20℃。调节增量为1℃，显示精度1℃；</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2.5安全系统：≥两种故障报警（高低温报警、传感器故障报警）；≥两种报警方式（声音蜂鸣报警、灯光闪烁报警）；开机延时保护；所有独立部件安全接地；</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2.6 高效节能压缩机及风机；</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24"/>
          <w:szCs w:val="24"/>
        </w:rPr>
        <w:t>.</w:t>
      </w:r>
      <w:r>
        <w:rPr>
          <w:rFonts w:hint="eastAsia" w:ascii="Times New Roman" w:hAnsi="Times New Roman" w:eastAsia="宋体" w:cs="Times New Roman"/>
          <w:color w:val="333333"/>
          <w:kern w:val="0"/>
          <w:sz w:val="24"/>
          <w:szCs w:val="24"/>
        </w:rPr>
        <w:t xml:space="preserve">7 </w:t>
      </w:r>
      <w:r>
        <w:rPr>
          <w:rFonts w:ascii="Times New Roman" w:hAnsi="Times New Roman" w:eastAsia="宋体" w:cs="Times New Roman"/>
          <w:color w:val="333333"/>
          <w:kern w:val="0"/>
          <w:sz w:val="24"/>
          <w:szCs w:val="24"/>
        </w:rPr>
        <w:t>自动除霜功能</w:t>
      </w:r>
      <w:r>
        <w:rPr>
          <w:rFonts w:hint="eastAsia" w:ascii="Times New Roman" w:hAnsi="Times New Roman" w:eastAsia="宋体" w:cs="Times New Roman"/>
          <w:color w:val="333333"/>
          <w:kern w:val="0"/>
          <w:sz w:val="24"/>
          <w:szCs w:val="24"/>
        </w:rPr>
        <w:t>；</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2.8 带锁；</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*2.9 透明玻璃门，内设照明灯，方便随时观察箱内物品</w:t>
      </w:r>
    </w:p>
    <w:p>
      <w:pPr>
        <w:widowControl/>
        <w:spacing w:line="360" w:lineRule="auto"/>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*2.10 质保期：原厂整机质保≥24个月；</w:t>
      </w:r>
      <w:r>
        <w:rPr>
          <w:rFonts w:ascii="Times New Roman" w:hAnsi="Times New Roman" w:eastAsia="宋体" w:cs="Times New Roman"/>
          <w:color w:val="333333"/>
          <w:kern w:val="0"/>
          <w:sz w:val="24"/>
          <w:szCs w:val="24"/>
        </w:rPr>
        <w:t>保质期从完成所有安装、调试、设备运行良好，以及完成所有培训后一个月</w:t>
      </w:r>
      <w:r>
        <w:rPr>
          <w:rFonts w:hint="eastAsia" w:ascii="Times New Roman" w:hAnsi="Times New Roman" w:eastAsia="宋体" w:cs="Times New Roman"/>
          <w:color w:val="333333"/>
          <w:kern w:val="0"/>
          <w:sz w:val="24"/>
          <w:szCs w:val="24"/>
        </w:rPr>
        <w:t>开始；</w:t>
      </w:r>
    </w:p>
    <w:p>
      <w:pPr>
        <w:rPr>
          <w:rFonts w:ascii="Times New Roman" w:hAnsi="Times New Roman" w:eastAsia="宋体" w:cs="Times New Roman"/>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r>
        <w:rPr>
          <w:rFonts w:hint="eastAsia" w:ascii="仿宋_GB2312" w:hAnsi="Segoe UI" w:eastAsia="仿宋_GB2312" w:cs="Segoe UI"/>
          <w:b/>
          <w:bCs/>
          <w:color w:val="333333"/>
          <w:kern w:val="0"/>
          <w:sz w:val="28"/>
          <w:szCs w:val="28"/>
        </w:rPr>
        <w:t>附件2：评审办法（综合评分明细表）</w:t>
      </w:r>
    </w:p>
    <w:tbl>
      <w:tblPr>
        <w:tblStyle w:val="6"/>
        <w:tblW w:w="9885" w:type="dxa"/>
        <w:tblInd w:w="0" w:type="dxa"/>
        <w:shd w:val="clear" w:color="auto" w:fill="FFFFFF"/>
        <w:tblLayout w:type="autofit"/>
        <w:tblCellMar>
          <w:top w:w="0" w:type="dxa"/>
          <w:left w:w="0" w:type="dxa"/>
          <w:bottom w:w="0" w:type="dxa"/>
          <w:right w:w="0" w:type="dxa"/>
        </w:tblCellMar>
      </w:tblPr>
      <w:tblGrid>
        <w:gridCol w:w="615"/>
        <w:gridCol w:w="795"/>
        <w:gridCol w:w="705"/>
        <w:gridCol w:w="3945"/>
        <w:gridCol w:w="3825"/>
      </w:tblGrid>
      <w:tr>
        <w:tblPrEx>
          <w:shd w:val="clear" w:color="auto" w:fill="FFFFFF"/>
          <w:tblCellMar>
            <w:top w:w="0" w:type="dxa"/>
            <w:left w:w="0" w:type="dxa"/>
            <w:bottom w:w="0" w:type="dxa"/>
            <w:right w:w="0" w:type="dxa"/>
          </w:tblCellMar>
        </w:tblPrEx>
        <w:trPr>
          <w:trHeight w:val="420" w:hRule="atLeast"/>
        </w:trPr>
        <w:tc>
          <w:tcPr>
            <w:tcW w:w="6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40" w:lineRule="atLeast"/>
              <w:jc w:val="center"/>
              <w:rPr>
                <w:rFonts w:ascii="Segoe UI" w:hAnsi="Segoe UI" w:eastAsia="宋体" w:cs="Segoe UI"/>
                <w:color w:val="333333"/>
                <w:kern w:val="0"/>
                <w:sz w:val="18"/>
                <w:szCs w:val="18"/>
              </w:rPr>
            </w:pPr>
            <w:r>
              <w:rPr>
                <w:rFonts w:hint="eastAsia" w:ascii="仿宋" w:hAnsi="仿宋" w:eastAsia="仿宋" w:cs="Segoe UI"/>
                <w:color w:val="333333"/>
                <w:kern w:val="0"/>
                <w:sz w:val="24"/>
                <w:szCs w:val="24"/>
              </w:rPr>
              <w:t>序号</w:t>
            </w:r>
          </w:p>
        </w:tc>
        <w:tc>
          <w:tcPr>
            <w:tcW w:w="7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40" w:lineRule="atLeast"/>
              <w:jc w:val="left"/>
              <w:rPr>
                <w:rFonts w:ascii="Segoe UI" w:hAnsi="Segoe UI" w:eastAsia="宋体" w:cs="Segoe UI"/>
                <w:color w:val="333333"/>
                <w:kern w:val="0"/>
                <w:sz w:val="18"/>
                <w:szCs w:val="18"/>
              </w:rPr>
            </w:pPr>
            <w:r>
              <w:rPr>
                <w:rFonts w:hint="eastAsia" w:ascii="仿宋" w:hAnsi="仿宋" w:eastAsia="仿宋" w:cs="Segoe UI"/>
                <w:color w:val="333333"/>
                <w:kern w:val="0"/>
                <w:sz w:val="24"/>
                <w:szCs w:val="24"/>
              </w:rPr>
              <w:t>评分因素</w:t>
            </w:r>
          </w:p>
        </w:tc>
        <w:tc>
          <w:tcPr>
            <w:tcW w:w="7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40" w:lineRule="atLeast"/>
              <w:jc w:val="center"/>
              <w:rPr>
                <w:rFonts w:ascii="Segoe UI" w:hAnsi="Segoe UI" w:eastAsia="宋体" w:cs="Segoe UI"/>
                <w:color w:val="333333"/>
                <w:kern w:val="0"/>
                <w:sz w:val="18"/>
                <w:szCs w:val="18"/>
              </w:rPr>
            </w:pPr>
            <w:r>
              <w:rPr>
                <w:rFonts w:hint="eastAsia" w:ascii="仿宋" w:hAnsi="仿宋" w:eastAsia="仿宋" w:cs="Segoe UI"/>
                <w:color w:val="333333"/>
                <w:kern w:val="0"/>
                <w:sz w:val="24"/>
                <w:szCs w:val="24"/>
              </w:rPr>
              <w:t>分值</w:t>
            </w:r>
          </w:p>
        </w:tc>
        <w:tc>
          <w:tcPr>
            <w:tcW w:w="39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40" w:lineRule="atLeast"/>
              <w:jc w:val="center"/>
              <w:rPr>
                <w:rFonts w:ascii="Segoe UI" w:hAnsi="Segoe UI" w:eastAsia="宋体" w:cs="Segoe UI"/>
                <w:color w:val="333333"/>
                <w:kern w:val="0"/>
                <w:sz w:val="18"/>
                <w:szCs w:val="18"/>
              </w:rPr>
            </w:pPr>
            <w:r>
              <w:rPr>
                <w:rFonts w:hint="eastAsia" w:ascii="仿宋" w:hAnsi="仿宋" w:eastAsia="仿宋" w:cs="Segoe UI"/>
                <w:color w:val="333333"/>
                <w:kern w:val="0"/>
                <w:sz w:val="24"/>
                <w:szCs w:val="24"/>
              </w:rPr>
              <w:t>评分标准</w:t>
            </w:r>
          </w:p>
        </w:tc>
        <w:tc>
          <w:tcPr>
            <w:tcW w:w="3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40" w:lineRule="atLeast"/>
              <w:jc w:val="center"/>
              <w:rPr>
                <w:rFonts w:ascii="Segoe UI" w:hAnsi="Segoe UI" w:eastAsia="宋体" w:cs="Segoe UI"/>
                <w:color w:val="333333"/>
                <w:kern w:val="0"/>
                <w:sz w:val="18"/>
                <w:szCs w:val="18"/>
              </w:rPr>
            </w:pPr>
            <w:r>
              <w:rPr>
                <w:rFonts w:hint="eastAsia" w:ascii="仿宋" w:hAnsi="仿宋" w:eastAsia="仿宋" w:cs="Segoe UI"/>
                <w:color w:val="333333"/>
                <w:kern w:val="0"/>
                <w:sz w:val="24"/>
                <w:szCs w:val="24"/>
              </w:rPr>
              <w:t>说</w:t>
            </w:r>
            <w:r>
              <w:rPr>
                <w:rFonts w:hint="eastAsia" w:ascii="宋体" w:hAnsi="宋体" w:eastAsia="宋体" w:cs="Segoe UI"/>
                <w:color w:val="333333"/>
                <w:kern w:val="0"/>
                <w:sz w:val="24"/>
                <w:szCs w:val="24"/>
              </w:rPr>
              <w:t>    </w:t>
            </w:r>
            <w:r>
              <w:rPr>
                <w:rFonts w:hint="eastAsia" w:ascii="仿宋" w:hAnsi="仿宋" w:eastAsia="仿宋" w:cs="Segoe UI"/>
                <w:color w:val="333333"/>
                <w:kern w:val="0"/>
                <w:sz w:val="24"/>
                <w:szCs w:val="24"/>
              </w:rPr>
              <w:t>明</w:t>
            </w:r>
          </w:p>
        </w:tc>
      </w:tr>
      <w:tr>
        <w:tblPrEx>
          <w:tblCellMar>
            <w:top w:w="0" w:type="dxa"/>
            <w:left w:w="0" w:type="dxa"/>
            <w:bottom w:w="0" w:type="dxa"/>
            <w:right w:w="0" w:type="dxa"/>
          </w:tblCellMar>
        </w:tblPrEx>
        <w:trPr>
          <w:trHeight w:val="420" w:hRule="atLeast"/>
        </w:trPr>
        <w:tc>
          <w:tcPr>
            <w:tcW w:w="6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1</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投标报价50%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Segoe UI" w:hAnsi="Segoe UI" w:eastAsia="宋体" w:cs="Segoe UI"/>
                <w:color w:val="333333"/>
                <w:kern w:val="0"/>
                <w:sz w:val="18"/>
                <w:szCs w:val="18"/>
              </w:rPr>
              <w:t>50</w:t>
            </w:r>
          </w:p>
        </w:tc>
        <w:tc>
          <w:tcPr>
            <w:tcW w:w="3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满足招标文件要求且投标价格最低的投标报价为评标基准价，其价格分为满分。其他投标单位的价格分统一按照下列公式计算：投标报价得分=(评标基准价／投标报价)×50</w:t>
            </w:r>
          </w:p>
        </w:tc>
        <w:tc>
          <w:tcPr>
            <w:tcW w:w="3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宋体" w:hAnsi="宋体" w:eastAsia="宋体" w:cs="Segoe UI"/>
                <w:color w:val="000000"/>
                <w:kern w:val="0"/>
                <w:sz w:val="24"/>
                <w:szCs w:val="24"/>
              </w:rPr>
              <w:t> </w:t>
            </w:r>
          </w:p>
        </w:tc>
      </w:tr>
      <w:tr>
        <w:tblPrEx>
          <w:shd w:val="clear" w:color="auto" w:fill="FFFFFF"/>
          <w:tblCellMar>
            <w:top w:w="0" w:type="dxa"/>
            <w:left w:w="0" w:type="dxa"/>
            <w:bottom w:w="0" w:type="dxa"/>
            <w:right w:w="0" w:type="dxa"/>
          </w:tblCellMar>
        </w:tblPrEx>
        <w:trPr>
          <w:trHeight w:val="3030" w:hRule="atLeast"/>
        </w:trPr>
        <w:tc>
          <w:tcPr>
            <w:tcW w:w="6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2</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技术指标39%</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39</w:t>
            </w:r>
          </w:p>
        </w:tc>
        <w:tc>
          <w:tcPr>
            <w:tcW w:w="3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投标产品的技术参数完全符合招标文件要求没有负偏离得39分；非“</w:t>
            </w:r>
            <w:r>
              <w:rPr>
                <w:rFonts w:hint="eastAsia" w:ascii="仿宋" w:hAnsi="仿宋" w:eastAsia="仿宋" w:cs="Segoe UI"/>
                <w:color w:val="333333"/>
                <w:kern w:val="0"/>
                <w:sz w:val="24"/>
                <w:szCs w:val="24"/>
              </w:rPr>
              <w:t>*</w:t>
            </w:r>
            <w:r>
              <w:rPr>
                <w:rFonts w:hint="eastAsia" w:ascii="仿宋" w:hAnsi="仿宋" w:eastAsia="仿宋" w:cs="Segoe UI"/>
                <w:color w:val="000000"/>
                <w:kern w:val="0"/>
                <w:sz w:val="24"/>
                <w:szCs w:val="24"/>
              </w:rPr>
              <w:t>”条款技术参数不满足招标文件要求（负偏离），一项扣2分，“</w:t>
            </w:r>
            <w:r>
              <w:rPr>
                <w:rFonts w:hint="eastAsia" w:ascii="仿宋" w:hAnsi="仿宋" w:eastAsia="仿宋" w:cs="Segoe UI"/>
                <w:color w:val="333333"/>
                <w:kern w:val="0"/>
                <w:sz w:val="24"/>
                <w:szCs w:val="24"/>
              </w:rPr>
              <w:t>*</w:t>
            </w:r>
            <w:r>
              <w:rPr>
                <w:rFonts w:hint="eastAsia" w:ascii="仿宋" w:hAnsi="仿宋" w:eastAsia="仿宋" w:cs="Segoe UI"/>
                <w:color w:val="000000"/>
                <w:kern w:val="0"/>
                <w:sz w:val="24"/>
                <w:szCs w:val="24"/>
              </w:rPr>
              <w:t>”条款技术参数与招标文件要求有负偏离的，一项扣4分；扣完为止。</w:t>
            </w:r>
          </w:p>
        </w:tc>
        <w:tc>
          <w:tcPr>
            <w:tcW w:w="3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仿宋" w:hAnsi="仿宋" w:eastAsia="仿宋" w:cs="Segoe UI"/>
                <w:color w:val="000000"/>
                <w:kern w:val="0"/>
                <w:sz w:val="24"/>
                <w:szCs w:val="24"/>
              </w:rPr>
            </w:pPr>
            <w:r>
              <w:rPr>
                <w:rFonts w:hint="eastAsia" w:ascii="仿宋" w:hAnsi="仿宋" w:eastAsia="仿宋" w:cs="Segoe UI"/>
                <w:color w:val="000000"/>
                <w:kern w:val="0"/>
                <w:sz w:val="24"/>
                <w:szCs w:val="24"/>
              </w:rPr>
              <w:t> 投标人须提供技术支撑材料：1.如国家相关主管部门出具的的技术支持材料，如说明书、注册证、检测报告等；2.技术支持材料，须加盖投标产品制造厂家的公章（鲜章），或者加盖投标产品生产厂家驻中国境内合法直属机构（鲜章），或者投标产品生产厂商直接授权的代理商的公章（鲜章）；3.如果投标产品中的某条条款技术参数没有按照以上要求提供技术支持资料的，该条技术参数在评审中不予认定。</w:t>
            </w:r>
          </w:p>
        </w:tc>
      </w:tr>
      <w:tr>
        <w:tblPrEx>
          <w:shd w:val="clear" w:color="auto" w:fill="FFFFFF"/>
        </w:tblPrEx>
        <w:trPr>
          <w:trHeight w:val="915" w:hRule="atLeast"/>
        </w:trPr>
        <w:tc>
          <w:tcPr>
            <w:tcW w:w="6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3</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业绩5%</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5</w:t>
            </w:r>
          </w:p>
        </w:tc>
        <w:tc>
          <w:tcPr>
            <w:tcW w:w="3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投标人需提供该产品2017年以来国内三甲医疗机构客户名单，每提供1家得1分，最多5分。</w:t>
            </w:r>
          </w:p>
        </w:tc>
        <w:tc>
          <w:tcPr>
            <w:tcW w:w="3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提供中标通知书或送货发票或合同复印件。</w:t>
            </w:r>
          </w:p>
        </w:tc>
      </w:tr>
      <w:tr>
        <w:tblPrEx>
          <w:shd w:val="clear" w:color="auto" w:fill="FFFFFF"/>
          <w:tblCellMar>
            <w:top w:w="0" w:type="dxa"/>
            <w:left w:w="0" w:type="dxa"/>
            <w:bottom w:w="0" w:type="dxa"/>
            <w:right w:w="0" w:type="dxa"/>
          </w:tblCellMar>
        </w:tblPrEx>
        <w:trPr>
          <w:trHeight w:val="945" w:hRule="atLeast"/>
        </w:trPr>
        <w:tc>
          <w:tcPr>
            <w:tcW w:w="61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4</w:t>
            </w:r>
          </w:p>
        </w:tc>
        <w:tc>
          <w:tcPr>
            <w:tcW w:w="795"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售后服务及培训5%</w:t>
            </w:r>
          </w:p>
        </w:tc>
        <w:tc>
          <w:tcPr>
            <w:tcW w:w="705"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20" w:lineRule="atLeast"/>
              <w:ind w:left="-105" w:right="-107"/>
              <w:jc w:val="center"/>
              <w:rPr>
                <w:rFonts w:ascii="Segoe UI" w:hAnsi="Segoe UI" w:eastAsia="宋体" w:cs="Segoe UI"/>
                <w:color w:val="333333"/>
                <w:kern w:val="0"/>
                <w:sz w:val="18"/>
                <w:szCs w:val="18"/>
              </w:rPr>
            </w:pPr>
            <w:r>
              <w:rPr>
                <w:rFonts w:hint="eastAsia" w:ascii="仿宋" w:hAnsi="仿宋" w:eastAsia="仿宋" w:cs="Segoe UI"/>
                <w:color w:val="333333"/>
                <w:kern w:val="0"/>
                <w:sz w:val="24"/>
                <w:szCs w:val="24"/>
              </w:rPr>
              <w:t>5</w:t>
            </w:r>
          </w:p>
        </w:tc>
        <w:tc>
          <w:tcPr>
            <w:tcW w:w="3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270" w:lineRule="atLeast"/>
              <w:jc w:val="left"/>
              <w:rPr>
                <w:rFonts w:ascii="仿宋" w:hAnsi="仿宋" w:eastAsia="仿宋" w:cs="Segoe UI"/>
                <w:color w:val="000000"/>
                <w:kern w:val="0"/>
                <w:sz w:val="24"/>
                <w:szCs w:val="24"/>
              </w:rPr>
            </w:pPr>
            <w:r>
              <w:rPr>
                <w:rFonts w:hint="eastAsia" w:ascii="仿宋" w:hAnsi="仿宋" w:eastAsia="仿宋" w:cs="Segoe UI"/>
                <w:color w:val="000000"/>
                <w:kern w:val="0"/>
                <w:sz w:val="24"/>
                <w:szCs w:val="24"/>
              </w:rPr>
              <w:t>1.根据投标人承诺的质量保证范围，售后服务体系、人员培训计划、响应时间、产品彩页简介等进行综合分析比较评分，最好得3分；一般得1分；差不得分。</w:t>
            </w:r>
          </w:p>
        </w:tc>
        <w:tc>
          <w:tcPr>
            <w:tcW w:w="3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left"/>
              <w:rPr>
                <w:rFonts w:ascii="Segoe UI" w:hAnsi="Segoe UI" w:eastAsia="宋体" w:cs="Segoe UI"/>
                <w:color w:val="333333"/>
                <w:kern w:val="0"/>
                <w:sz w:val="18"/>
                <w:szCs w:val="18"/>
              </w:rPr>
            </w:pPr>
            <w:r>
              <w:rPr>
                <w:rFonts w:ascii="Segoe UI" w:hAnsi="Segoe UI" w:eastAsia="宋体" w:cs="Segoe UI"/>
                <w:color w:val="333333"/>
                <w:kern w:val="0"/>
                <w:sz w:val="18"/>
                <w:szCs w:val="18"/>
              </w:rPr>
              <w:t> </w:t>
            </w:r>
          </w:p>
        </w:tc>
      </w:tr>
      <w:tr>
        <w:tblPrEx>
          <w:shd w:val="clear" w:color="auto" w:fill="FFFFFF"/>
          <w:tblCellMar>
            <w:top w:w="0" w:type="dxa"/>
            <w:left w:w="0" w:type="dxa"/>
            <w:bottom w:w="0" w:type="dxa"/>
            <w:right w:w="0" w:type="dxa"/>
          </w:tblCellMar>
        </w:tblPrEx>
        <w:trPr>
          <w:trHeight w:val="183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Segoe UI" w:hAnsi="Segoe UI" w:eastAsia="宋体" w:cs="Segoe UI"/>
                <w:color w:val="333333"/>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Segoe UI" w:hAnsi="Segoe UI" w:eastAsia="宋体" w:cs="Segoe UI"/>
                <w:color w:val="333333"/>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Segoe UI" w:hAnsi="Segoe UI" w:eastAsia="宋体" w:cs="Segoe UI"/>
                <w:color w:val="333333"/>
                <w:kern w:val="0"/>
                <w:sz w:val="18"/>
                <w:szCs w:val="18"/>
              </w:rPr>
            </w:pPr>
          </w:p>
        </w:tc>
        <w:tc>
          <w:tcPr>
            <w:tcW w:w="3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270" w:lineRule="atLeast"/>
              <w:jc w:val="left"/>
              <w:rPr>
                <w:rFonts w:ascii="仿宋" w:hAnsi="仿宋" w:eastAsia="仿宋" w:cs="Segoe UI"/>
                <w:color w:val="000000"/>
                <w:kern w:val="0"/>
                <w:sz w:val="24"/>
                <w:szCs w:val="24"/>
              </w:rPr>
            </w:pPr>
            <w:r>
              <w:rPr>
                <w:rFonts w:hint="eastAsia" w:ascii="仿宋" w:hAnsi="仿宋" w:eastAsia="仿宋" w:cs="Segoe UI"/>
                <w:color w:val="000000"/>
                <w:kern w:val="0"/>
                <w:sz w:val="24"/>
                <w:szCs w:val="24"/>
              </w:rPr>
              <w:t>2.提供的可使用设备制造厂家在成都设有办事处、分公司或常驻维修机构（提供相关证明材料）得2分；未提供，不得分。</w:t>
            </w:r>
          </w:p>
        </w:tc>
        <w:tc>
          <w:tcPr>
            <w:tcW w:w="3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270" w:lineRule="atLeast"/>
              <w:jc w:val="left"/>
              <w:rPr>
                <w:rFonts w:ascii="Segoe UI" w:hAnsi="Segoe UI" w:eastAsia="宋体" w:cs="Segoe UI"/>
                <w:color w:val="333333"/>
                <w:kern w:val="0"/>
                <w:sz w:val="18"/>
                <w:szCs w:val="18"/>
              </w:rPr>
            </w:pPr>
          </w:p>
        </w:tc>
      </w:tr>
      <w:tr>
        <w:tblPrEx>
          <w:shd w:val="clear" w:color="auto" w:fill="FFFFFF"/>
          <w:tblCellMar>
            <w:top w:w="0" w:type="dxa"/>
            <w:left w:w="0" w:type="dxa"/>
            <w:bottom w:w="0" w:type="dxa"/>
            <w:right w:w="0" w:type="dxa"/>
          </w:tblCellMar>
        </w:tblPrEx>
        <w:trPr>
          <w:trHeight w:val="2265" w:hRule="atLeast"/>
        </w:trPr>
        <w:tc>
          <w:tcPr>
            <w:tcW w:w="6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5</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投标文件的规范性1%</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center"/>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1</w:t>
            </w:r>
          </w:p>
        </w:tc>
        <w:tc>
          <w:tcPr>
            <w:tcW w:w="3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投标文件制作规范，没有细微偏差情形的得1分；有一项细微偏差扣0.5分，直至该项分值扣完为止。</w:t>
            </w:r>
          </w:p>
        </w:tc>
        <w:tc>
          <w:tcPr>
            <w:tcW w:w="3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70" w:lineRule="atLeast"/>
              <w:jc w:val="left"/>
              <w:rPr>
                <w:rFonts w:ascii="Segoe UI" w:hAnsi="Segoe UI" w:eastAsia="宋体" w:cs="Segoe UI"/>
                <w:color w:val="333333"/>
                <w:kern w:val="0"/>
                <w:sz w:val="18"/>
                <w:szCs w:val="18"/>
              </w:rPr>
            </w:pPr>
            <w:r>
              <w:rPr>
                <w:rFonts w:hint="eastAsia" w:ascii="仿宋" w:hAnsi="仿宋" w:eastAsia="仿宋" w:cs="Segoe UI"/>
                <w:color w:val="000000"/>
                <w:kern w:val="0"/>
                <w:sz w:val="24"/>
                <w:szCs w:val="24"/>
              </w:rPr>
              <w:t>根据投标人投标文件编制情况进行评分。</w:t>
            </w:r>
          </w:p>
        </w:tc>
      </w:tr>
    </w:tbl>
    <w:p>
      <w:pPr>
        <w:rPr>
          <w:rFonts w:ascii="仿宋_GB2312" w:hAnsi="Segoe UI" w:eastAsia="仿宋_GB2312" w:cs="Segoe UI"/>
          <w:b/>
          <w:bCs/>
          <w:color w:val="333333"/>
          <w:kern w:val="0"/>
          <w:sz w:val="28"/>
          <w:szCs w:val="28"/>
        </w:rPr>
      </w:pPr>
    </w:p>
    <w:p>
      <w:pPr>
        <w:rPr>
          <w:rFonts w:ascii="Times New Roman" w:hAnsi="Times New Roman" w:eastAsia="宋体" w:cs="Times New Roman"/>
          <w:color w:val="333333"/>
          <w:kern w:val="0"/>
          <w:sz w:val="28"/>
          <w:szCs w:val="28"/>
        </w:rPr>
      </w:pPr>
      <w:r>
        <w:rPr>
          <w:rFonts w:hint="eastAsia" w:ascii="仿宋_GB2312" w:hAnsi="Segoe UI" w:eastAsia="仿宋_GB2312" w:cs="Segoe UI"/>
          <w:b/>
          <w:bCs/>
          <w:color w:val="333333"/>
          <w:kern w:val="0"/>
          <w:sz w:val="28"/>
          <w:szCs w:val="28"/>
        </w:rPr>
        <w:t>附件3：采购文件书装订顺序 </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1、封面（公司、项目、联系人、联系方式）</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2、目录</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3、品目及报价表（格式见附件3）</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4、规格型号、配置及偏离表（格式见附件3）</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5、企业营业执照（复印件）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6、组织机构代码证、税务登记证（复印件）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7、法定代表人授权书（原件，格式见附件3）暨经办人授权书，法定代表人、经办人身份证（复印件）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8、生产厂家授权书（投标人不是生产厂家的）</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9、如是医疗器械，须提供“中华人民共和国医疗器械生产企业许可证”和“中华人民共和国医疗器械经营企业许可证”（复印件）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10、如是医疗器械，须提供“医疗器械产品注册证和注册登记表”（复印件）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11、如有产品质量和企业管理体系认证（考核），请提供的有效证明文件的复印或扫描件，质量管理体系认证包括FDA、CE、ISO等认证（提供中文翻译复印件）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12、质量检测中心或法定机构出具的产品检测报告，性能自测报告，出厂检验报告的复印或扫描件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13、如有其他证书：产品在技术、节能、安全、环保和自主创新方面获得的认证证书或制造厂家和产品所获国家级荣誉称号等复印或扫描件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14、产品执行标准（提供产品注册标准：YZB等资料供评审）</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15、产品质量及货源保证书</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16、售后服务承诺书，包括质量保证范围，售后服务体系、人员培训计划等，并提供相关人员证明材料，要求见评分办法“售后服务”说明；</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17、如有，提供进口原材料证明书或产品报关资料等</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18、产品说明书或与投标医疗耗材型号一致的产品彩页资料和其他有关介绍资料。</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19、业绩证明文件（用户名单及联系人与联系方式，格式见附件3），并提供相应证明文件，要求见评分办法“业绩”说明。</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20、能满足采购人需求的配送及维保的证明文件。如有物流公司配送，请提供配送证明材料：配送商基本情况、配送商营业执照复印件、配送商经营许可证复印件</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21、如有，国家规定的其它相关资质证明文件或其它涉及特许经营许可的须提供相关证书。如：卫生许可证、药品经营许可证、生产批件或新药证书等；</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22、封底</w:t>
      </w:r>
    </w:p>
    <w:p>
      <w:pPr>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注：请务必按以上顺序装订资料，如有非中文资料，请同时提供中文翻译件。</w:t>
      </w: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hint="eastAsia" w:ascii="仿宋_GB2312" w:hAnsi="Segoe UI" w:eastAsia="仿宋_GB2312" w:cs="Segoe UI"/>
          <w:b/>
          <w:bCs/>
          <w:color w:val="333333"/>
          <w:kern w:val="0"/>
          <w:sz w:val="28"/>
          <w:szCs w:val="28"/>
        </w:rPr>
      </w:pPr>
      <w:r>
        <w:rPr>
          <w:rFonts w:hint="eastAsia" w:ascii="仿宋_GB2312" w:hAnsi="Segoe UI" w:eastAsia="仿宋_GB2312" w:cs="Segoe UI"/>
          <w:b/>
          <w:bCs/>
          <w:color w:val="333333"/>
          <w:kern w:val="0"/>
          <w:sz w:val="28"/>
          <w:szCs w:val="28"/>
        </w:rPr>
        <w:t>附件4：主要表格格式</w:t>
      </w:r>
    </w:p>
    <w:p>
      <w:pPr>
        <w:rPr>
          <w:rFonts w:hint="eastAsia" w:ascii="仿宋_GB2312" w:hAnsi="Segoe UI" w:eastAsia="仿宋_GB2312" w:cs="Segoe UI"/>
          <w:b/>
          <w:bCs/>
          <w:color w:val="333333"/>
          <w:kern w:val="0"/>
          <w:sz w:val="28"/>
          <w:szCs w:val="28"/>
        </w:rPr>
      </w:pPr>
      <w:r>
        <w:rPr>
          <w:rFonts w:hint="eastAsia" w:ascii="仿宋_GB2312" w:hAnsi="Segoe UI" w:eastAsia="仿宋_GB2312" w:cs="Segoe UI"/>
          <w:b/>
          <w:bCs/>
          <w:color w:val="333333"/>
          <w:kern w:val="0"/>
          <w:sz w:val="28"/>
          <w:szCs w:val="28"/>
        </w:rPr>
        <w:t>附件4-1：偏离表</w:t>
      </w:r>
    </w:p>
    <w:p>
      <w:pPr>
        <w:tabs>
          <w:tab w:val="left" w:pos="6645"/>
        </w:tabs>
        <w:spacing w:line="360" w:lineRule="auto"/>
        <w:contextualSpacing/>
        <w:jc w:val="center"/>
        <w:rPr>
          <w:rFonts w:ascii="仿宋_GB2312" w:eastAsia="仿宋_GB2312"/>
          <w:b/>
          <w:bCs/>
          <w:sz w:val="30"/>
          <w:szCs w:val="30"/>
        </w:rPr>
      </w:pPr>
    </w:p>
    <w:tbl>
      <w:tblPr>
        <w:tblStyle w:val="6"/>
        <w:tblW w:w="0" w:type="auto"/>
        <w:tblCellSpacing w:w="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9"/>
        <w:gridCol w:w="2294"/>
        <w:gridCol w:w="2294"/>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CellSpacing w:w="0" w:type="dxa"/>
        </w:trPr>
        <w:tc>
          <w:tcPr>
            <w:tcW w:w="1069" w:type="dxa"/>
            <w:noWrap/>
            <w:tcMar>
              <w:left w:w="108" w:type="dxa"/>
              <w:right w:w="108" w:type="dxa"/>
            </w:tcMar>
            <w:vAlign w:val="center"/>
          </w:tcPr>
          <w:p>
            <w:pPr>
              <w:tabs>
                <w:tab w:val="left" w:pos="6645"/>
              </w:tabs>
              <w:spacing w:line="360" w:lineRule="auto"/>
              <w:contextualSpacing/>
              <w:jc w:val="center"/>
              <w:rPr>
                <w:rFonts w:ascii="仿宋" w:hAnsi="仿宋" w:eastAsia="仿宋"/>
                <w:sz w:val="30"/>
                <w:szCs w:val="30"/>
              </w:rPr>
            </w:pPr>
            <w:r>
              <w:rPr>
                <w:rFonts w:hint="eastAsia" w:ascii="仿宋" w:hAnsi="仿宋" w:eastAsia="仿宋"/>
                <w:sz w:val="30"/>
                <w:szCs w:val="30"/>
              </w:rPr>
              <w:t>序号</w:t>
            </w:r>
          </w:p>
        </w:tc>
        <w:tc>
          <w:tcPr>
            <w:tcW w:w="2294" w:type="dxa"/>
            <w:noWrap/>
            <w:tcMar>
              <w:left w:w="108" w:type="dxa"/>
              <w:right w:w="108" w:type="dxa"/>
            </w:tcMar>
            <w:vAlign w:val="center"/>
          </w:tcPr>
          <w:p>
            <w:pPr>
              <w:tabs>
                <w:tab w:val="left" w:pos="6645"/>
              </w:tabs>
              <w:spacing w:line="360" w:lineRule="auto"/>
              <w:contextualSpacing/>
              <w:jc w:val="center"/>
              <w:rPr>
                <w:rFonts w:ascii="仿宋" w:hAnsi="仿宋" w:eastAsia="仿宋"/>
                <w:sz w:val="30"/>
                <w:szCs w:val="30"/>
              </w:rPr>
            </w:pPr>
            <w:r>
              <w:rPr>
                <w:rFonts w:hint="eastAsia" w:ascii="仿宋" w:hAnsi="仿宋" w:eastAsia="仿宋"/>
                <w:sz w:val="30"/>
                <w:szCs w:val="30"/>
              </w:rPr>
              <w:t>招标要求</w:t>
            </w:r>
          </w:p>
        </w:tc>
        <w:tc>
          <w:tcPr>
            <w:tcW w:w="2294" w:type="dxa"/>
            <w:noWrap/>
            <w:tcMar>
              <w:left w:w="108" w:type="dxa"/>
              <w:right w:w="108" w:type="dxa"/>
            </w:tcMar>
            <w:vAlign w:val="center"/>
          </w:tcPr>
          <w:p>
            <w:pPr>
              <w:tabs>
                <w:tab w:val="left" w:pos="6645"/>
              </w:tabs>
              <w:spacing w:line="360" w:lineRule="auto"/>
              <w:contextualSpacing/>
              <w:jc w:val="center"/>
              <w:rPr>
                <w:rFonts w:ascii="仿宋" w:hAnsi="仿宋" w:eastAsia="仿宋"/>
                <w:sz w:val="30"/>
                <w:szCs w:val="30"/>
              </w:rPr>
            </w:pPr>
            <w:r>
              <w:rPr>
                <w:rFonts w:hint="eastAsia" w:ascii="仿宋" w:hAnsi="仿宋" w:eastAsia="仿宋"/>
                <w:sz w:val="30"/>
                <w:szCs w:val="30"/>
              </w:rPr>
              <w:t>投标响应</w:t>
            </w:r>
          </w:p>
        </w:tc>
        <w:tc>
          <w:tcPr>
            <w:tcW w:w="2854" w:type="dxa"/>
            <w:noWrap/>
            <w:tcMar>
              <w:left w:w="108" w:type="dxa"/>
              <w:right w:w="108" w:type="dxa"/>
            </w:tcMar>
            <w:vAlign w:val="center"/>
          </w:tcPr>
          <w:p>
            <w:pPr>
              <w:tabs>
                <w:tab w:val="left" w:pos="6645"/>
              </w:tabs>
              <w:spacing w:line="360" w:lineRule="auto"/>
              <w:contextualSpacing/>
              <w:jc w:val="center"/>
              <w:rPr>
                <w:rFonts w:ascii="仿宋" w:hAnsi="仿宋" w:eastAsia="仿宋"/>
                <w:sz w:val="30"/>
                <w:szCs w:val="30"/>
              </w:rPr>
            </w:pPr>
            <w:r>
              <w:rPr>
                <w:rFonts w:hint="eastAsia" w:ascii="仿宋" w:hAnsi="仿宋" w:eastAsia="仿宋"/>
                <w:sz w:val="30"/>
                <w:szCs w:val="30"/>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trPr>
        <w:tc>
          <w:tcPr>
            <w:tcW w:w="1069"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29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c>
          <w:tcPr>
            <w:tcW w:w="2854" w:type="dxa"/>
            <w:noWrap/>
            <w:tcMar>
              <w:left w:w="108" w:type="dxa"/>
              <w:right w:w="108" w:type="dxa"/>
            </w:tcMar>
          </w:tcPr>
          <w:p>
            <w:pPr>
              <w:tabs>
                <w:tab w:val="left" w:pos="6645"/>
              </w:tabs>
              <w:spacing w:line="360" w:lineRule="auto"/>
              <w:contextualSpacing/>
              <w:jc w:val="center"/>
              <w:rPr>
                <w:rFonts w:ascii="仿宋" w:hAnsi="仿宋" w:eastAsia="仿宋"/>
                <w:sz w:val="30"/>
                <w:szCs w:val="30"/>
              </w:rPr>
            </w:pPr>
          </w:p>
        </w:tc>
      </w:tr>
    </w:tbl>
    <w:p>
      <w:pPr>
        <w:tabs>
          <w:tab w:val="left" w:pos="6645"/>
        </w:tabs>
        <w:spacing w:line="360" w:lineRule="auto"/>
        <w:contextualSpacing/>
        <w:rPr>
          <w:rFonts w:ascii="仿宋_GB2312" w:eastAsia="仿宋_GB2312"/>
          <w:sz w:val="30"/>
          <w:szCs w:val="30"/>
        </w:rPr>
      </w:pPr>
    </w:p>
    <w:p>
      <w:pPr>
        <w:tabs>
          <w:tab w:val="left" w:pos="6645"/>
        </w:tabs>
        <w:spacing w:line="360" w:lineRule="auto"/>
        <w:contextualSpacing/>
        <w:jc w:val="left"/>
        <w:rPr>
          <w:rFonts w:ascii="仿宋_GB2312" w:eastAsia="仿宋_GB2312"/>
          <w:sz w:val="24"/>
          <w:szCs w:val="24"/>
        </w:rPr>
      </w:pPr>
      <w:r>
        <w:rPr>
          <w:rFonts w:hint="eastAsia" w:ascii="仿宋_GB2312" w:eastAsia="仿宋_GB2312"/>
          <w:b/>
          <w:bCs/>
          <w:sz w:val="24"/>
          <w:szCs w:val="24"/>
        </w:rPr>
        <w:t>注：</w:t>
      </w:r>
      <w:r>
        <w:rPr>
          <w:rFonts w:hint="eastAsia" w:ascii="仿宋_GB2312" w:eastAsia="仿宋_GB2312"/>
          <w:sz w:val="24"/>
          <w:szCs w:val="24"/>
        </w:rPr>
        <w:t>1、此表要求投标文件与招标文件要求一一对应、逐一列出；2．投标文件中与招标文件要求有负偏离的内容必须在此表中列出，否则视为无效投标。供应商必须据实填写，不得虚假响应，否则投标无效并按规定追究其相关责任。</w:t>
      </w:r>
    </w:p>
    <w:p>
      <w:pPr>
        <w:tabs>
          <w:tab w:val="left" w:pos="6645"/>
        </w:tabs>
        <w:spacing w:line="360" w:lineRule="auto"/>
        <w:contextualSpacing/>
        <w:jc w:val="left"/>
        <w:rPr>
          <w:rFonts w:ascii="仿宋_GB2312" w:eastAsia="仿宋_GB2312"/>
          <w:sz w:val="24"/>
          <w:szCs w:val="24"/>
        </w:rPr>
      </w:pPr>
      <w:r>
        <w:rPr>
          <w:rFonts w:hint="eastAsia" w:ascii="仿宋_GB2312" w:eastAsia="仿宋_GB2312"/>
          <w:sz w:val="24"/>
          <w:szCs w:val="24"/>
        </w:rPr>
        <w:t>法定代表人或授权代表签字：</w:t>
      </w:r>
    </w:p>
    <w:p>
      <w:pPr>
        <w:tabs>
          <w:tab w:val="left" w:pos="6645"/>
        </w:tabs>
        <w:spacing w:line="360" w:lineRule="auto"/>
        <w:contextualSpacing/>
        <w:jc w:val="left"/>
        <w:rPr>
          <w:rFonts w:ascii="仿宋_GB2312" w:eastAsia="仿宋_GB2312"/>
          <w:sz w:val="24"/>
          <w:szCs w:val="24"/>
        </w:rPr>
      </w:pPr>
      <w:r>
        <w:rPr>
          <w:rFonts w:hint="eastAsia" w:ascii="仿宋_GB2312" w:eastAsia="仿宋_GB2312"/>
          <w:sz w:val="24"/>
          <w:szCs w:val="24"/>
        </w:rPr>
        <w:t>日期:</w:t>
      </w:r>
    </w:p>
    <w:p>
      <w:pPr>
        <w:tabs>
          <w:tab w:val="left" w:pos="6645"/>
        </w:tabs>
        <w:spacing w:line="360" w:lineRule="auto"/>
        <w:ind w:firstLine="7200" w:firstLineChars="2400"/>
        <w:contextualSpacing/>
        <w:jc w:val="left"/>
        <w:rPr>
          <w:rFonts w:ascii="仿宋_GB2312" w:eastAsia="仿宋_GB2312"/>
          <w:sz w:val="30"/>
          <w:szCs w:val="30"/>
        </w:rPr>
      </w:pPr>
    </w:p>
    <w:p>
      <w:pPr>
        <w:tabs>
          <w:tab w:val="left" w:pos="6645"/>
        </w:tabs>
        <w:spacing w:line="360" w:lineRule="auto"/>
        <w:contextualSpacing/>
        <w:jc w:val="left"/>
        <w:rPr>
          <w:rFonts w:ascii="仿宋_GB2312" w:eastAsia="仿宋_GB2312"/>
          <w:sz w:val="30"/>
          <w:szCs w:val="30"/>
        </w:rPr>
      </w:pPr>
    </w:p>
    <w:p>
      <w:pPr>
        <w:tabs>
          <w:tab w:val="left" w:pos="6645"/>
        </w:tabs>
        <w:spacing w:line="360" w:lineRule="auto"/>
        <w:contextualSpacing/>
        <w:jc w:val="left"/>
        <w:rPr>
          <w:rFonts w:ascii="仿宋_GB2312" w:eastAsia="仿宋_GB2312"/>
          <w:sz w:val="30"/>
          <w:szCs w:val="30"/>
        </w:rPr>
      </w:pPr>
    </w:p>
    <w:p>
      <w:pPr>
        <w:tabs>
          <w:tab w:val="left" w:pos="6645"/>
        </w:tabs>
        <w:spacing w:line="360" w:lineRule="auto"/>
        <w:contextualSpacing/>
        <w:jc w:val="left"/>
        <w:rPr>
          <w:rFonts w:ascii="仿宋_GB2312" w:eastAsia="仿宋_GB2312"/>
          <w:sz w:val="30"/>
          <w:szCs w:val="30"/>
        </w:rPr>
      </w:pPr>
    </w:p>
    <w:p>
      <w:pPr>
        <w:rPr>
          <w:rFonts w:hint="eastAsia" w:ascii="仿宋_GB2312" w:hAnsi="Segoe UI" w:eastAsia="仿宋_GB2312" w:cs="Segoe UI"/>
          <w:b/>
          <w:bCs/>
          <w:color w:val="333333"/>
          <w:kern w:val="0"/>
          <w:sz w:val="28"/>
          <w:szCs w:val="28"/>
        </w:rPr>
      </w:pPr>
      <w:r>
        <w:rPr>
          <w:rFonts w:hint="eastAsia" w:ascii="仿宋_GB2312" w:hAnsi="Segoe UI" w:eastAsia="仿宋_GB2312" w:cs="Segoe UI"/>
          <w:b/>
          <w:bCs/>
          <w:color w:val="333333"/>
          <w:kern w:val="0"/>
          <w:sz w:val="28"/>
          <w:szCs w:val="28"/>
        </w:rPr>
        <w:t>附件4-2：</w:t>
      </w:r>
    </w:p>
    <w:p>
      <w:pPr>
        <w:tabs>
          <w:tab w:val="left" w:pos="6645"/>
        </w:tabs>
        <w:spacing w:line="360" w:lineRule="auto"/>
        <w:contextualSpacing/>
        <w:jc w:val="center"/>
        <w:rPr>
          <w:rFonts w:ascii="仿宋_GB2312" w:eastAsia="仿宋_GB2312"/>
          <w:sz w:val="30"/>
          <w:szCs w:val="30"/>
        </w:rPr>
      </w:pPr>
      <w:r>
        <w:rPr>
          <w:rFonts w:hint="eastAsia" w:ascii="仿宋_GB2312" w:eastAsia="仿宋_GB2312"/>
          <w:sz w:val="30"/>
          <w:szCs w:val="30"/>
        </w:rPr>
        <w:t>用户情况表</w:t>
      </w:r>
    </w:p>
    <w:tbl>
      <w:tblPr>
        <w:tblStyle w:val="6"/>
        <w:tblW w:w="0" w:type="auto"/>
        <w:jc w:val="center"/>
        <w:tblLayout w:type="autofit"/>
        <w:tblCellMar>
          <w:top w:w="0" w:type="dxa"/>
          <w:left w:w="0" w:type="dxa"/>
          <w:bottom w:w="0" w:type="dxa"/>
          <w:right w:w="0" w:type="dxa"/>
        </w:tblCellMar>
      </w:tblPr>
      <w:tblGrid>
        <w:gridCol w:w="1701"/>
        <w:gridCol w:w="1701"/>
        <w:gridCol w:w="1701"/>
        <w:gridCol w:w="1701"/>
        <w:gridCol w:w="1701"/>
      </w:tblGrid>
      <w:tr>
        <w:tblPrEx>
          <w:tblCellMar>
            <w:top w:w="0" w:type="dxa"/>
            <w:left w:w="0" w:type="dxa"/>
            <w:bottom w:w="0" w:type="dxa"/>
            <w:right w:w="0" w:type="dxa"/>
          </w:tblCellMar>
        </w:tblPrEx>
        <w:trPr>
          <w:trHeight w:val="420" w:hRule="atLeast"/>
          <w:jc w:val="center"/>
        </w:trPr>
        <w:tc>
          <w:tcPr>
            <w:tcW w:w="170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仿宋_GB2312" w:hAnsi="宋体" w:eastAsia="仿宋_GB2312" w:cs="宋体"/>
                <w:kern w:val="0"/>
                <w:sz w:val="24"/>
                <w:szCs w:val="24"/>
              </w:rPr>
              <w:t>省外省级以上单位用户</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仿宋_GB2312" w:hAnsi="宋体" w:eastAsia="仿宋_GB2312" w:cs="宋体"/>
                <w:kern w:val="0"/>
                <w:sz w:val="24"/>
                <w:szCs w:val="24"/>
              </w:rPr>
              <w:t>用户名称</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仿宋_GB2312" w:hAnsi="宋体" w:eastAsia="仿宋_GB2312" w:cs="宋体"/>
                <w:kern w:val="0"/>
                <w:sz w:val="24"/>
                <w:szCs w:val="24"/>
              </w:rPr>
              <w:t>合同时间</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仿宋_GB2312" w:hAnsi="宋体" w:eastAsia="仿宋_GB2312" w:cs="宋体"/>
                <w:kern w:val="0"/>
                <w:sz w:val="24"/>
                <w:szCs w:val="24"/>
              </w:rPr>
              <w:t>联系人及联系方式</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仿宋_GB2312" w:hAnsi="宋体" w:eastAsia="仿宋_GB2312" w:cs="宋体"/>
                <w:kern w:val="0"/>
                <w:sz w:val="24"/>
                <w:szCs w:val="24"/>
              </w:rPr>
              <w:t>备注</w:t>
            </w:r>
          </w:p>
        </w:tc>
      </w:tr>
      <w:tr>
        <w:tblPrEx>
          <w:tblCellMar>
            <w:top w:w="0" w:type="dxa"/>
            <w:left w:w="0" w:type="dxa"/>
            <w:bottom w:w="0" w:type="dxa"/>
            <w:right w:w="0" w:type="dxa"/>
          </w:tblCellMar>
        </w:tblPrEx>
        <w:trPr>
          <w:trHeight w:val="582" w:hRule="atLeast"/>
          <w:jc w:val="center"/>
        </w:trPr>
        <w:tc>
          <w:tcPr>
            <w:tcW w:w="170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537" w:hRule="atLeast"/>
          <w:jc w:val="center"/>
        </w:trPr>
        <w:tc>
          <w:tcPr>
            <w:tcW w:w="170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597" w:hRule="atLeast"/>
          <w:jc w:val="center"/>
        </w:trPr>
        <w:tc>
          <w:tcPr>
            <w:tcW w:w="170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仿宋_GB2312" w:hAnsi="宋体" w:eastAsia="仿宋_GB2312" w:cs="宋体"/>
                <w:kern w:val="0"/>
                <w:sz w:val="24"/>
                <w:szCs w:val="24"/>
              </w:rPr>
              <w:t>省内省级单位用户</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582" w:hRule="atLeast"/>
          <w:jc w:val="center"/>
        </w:trPr>
        <w:tc>
          <w:tcPr>
            <w:tcW w:w="170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597" w:hRule="atLeast"/>
          <w:jc w:val="center"/>
        </w:trPr>
        <w:tc>
          <w:tcPr>
            <w:tcW w:w="170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660" w:hRule="atLeast"/>
          <w:jc w:val="center"/>
        </w:trPr>
        <w:tc>
          <w:tcPr>
            <w:tcW w:w="170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仿宋_GB2312" w:hAnsi="宋体" w:eastAsia="仿宋_GB2312" w:cs="宋体"/>
                <w:kern w:val="0"/>
                <w:sz w:val="24"/>
                <w:szCs w:val="24"/>
              </w:rPr>
              <w:t>省内其他用户</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630" w:hRule="atLeast"/>
          <w:jc w:val="center"/>
        </w:trPr>
        <w:tc>
          <w:tcPr>
            <w:tcW w:w="170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770" w:hRule="atLeast"/>
          <w:jc w:val="center"/>
        </w:trPr>
        <w:tc>
          <w:tcPr>
            <w:tcW w:w="170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18"/>
                <w:szCs w:val="18"/>
              </w:rPr>
            </w:pPr>
            <w:r>
              <w:rPr>
                <w:rFonts w:hint="eastAsia" w:ascii="宋体" w:hAnsi="宋体" w:eastAsia="宋体" w:cs="宋体"/>
                <w:kern w:val="0"/>
                <w:sz w:val="24"/>
                <w:szCs w:val="24"/>
              </w:rPr>
              <w:t> </w:t>
            </w:r>
          </w:p>
        </w:tc>
      </w:tr>
    </w:tbl>
    <w:p>
      <w:pPr>
        <w:widowControl/>
        <w:wordWrap w:val="0"/>
        <w:spacing w:line="105" w:lineRule="atLeast"/>
        <w:jc w:val="left"/>
        <w:rPr>
          <w:rFonts w:ascii="宋体" w:hAnsi="宋体" w:eastAsia="宋体" w:cs="宋体"/>
          <w:kern w:val="0"/>
          <w:sz w:val="24"/>
          <w:szCs w:val="24"/>
        </w:rPr>
      </w:pPr>
      <w:r>
        <w:rPr>
          <w:rFonts w:hint="eastAsia" w:ascii="宋体" w:hAnsi="宋体" w:eastAsia="宋体" w:cs="宋体"/>
          <w:kern w:val="0"/>
          <w:sz w:val="24"/>
          <w:szCs w:val="24"/>
        </w:rPr>
        <w:t>法定代表人或授权代表签字：</w:t>
      </w:r>
    </w:p>
    <w:p>
      <w:pPr>
        <w:widowControl/>
        <w:wordWrap w:val="0"/>
        <w:spacing w:line="105" w:lineRule="atLeast"/>
        <w:jc w:val="left"/>
        <w:rPr>
          <w:rFonts w:ascii="宋体" w:hAnsi="宋体" w:eastAsia="宋体" w:cs="宋体"/>
          <w:kern w:val="0"/>
          <w:sz w:val="24"/>
          <w:szCs w:val="24"/>
        </w:rPr>
      </w:pPr>
      <w:r>
        <w:rPr>
          <w:rFonts w:hint="eastAsia" w:ascii="宋体" w:hAnsi="宋体" w:eastAsia="宋体" w:cs="宋体"/>
          <w:kern w:val="0"/>
          <w:sz w:val="24"/>
          <w:szCs w:val="24"/>
        </w:rPr>
        <w:t>日期:</w:t>
      </w: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widowControl/>
        <w:wordWrap w:val="0"/>
        <w:spacing w:line="105" w:lineRule="atLeast"/>
        <w:jc w:val="left"/>
        <w:rPr>
          <w:rFonts w:ascii="宋体" w:hAnsi="宋体" w:eastAsia="宋体" w:cs="宋体"/>
          <w:kern w:val="0"/>
          <w:sz w:val="28"/>
          <w:szCs w:val="28"/>
        </w:rPr>
      </w:pPr>
    </w:p>
    <w:p>
      <w:pPr>
        <w:tabs>
          <w:tab w:val="left" w:pos="6645"/>
        </w:tabs>
        <w:spacing w:line="360" w:lineRule="auto"/>
        <w:contextualSpacing/>
        <w:rPr>
          <w:rFonts w:ascii="黑体" w:hAnsi="黑体" w:eastAsia="黑体"/>
          <w:bCs/>
          <w:sz w:val="30"/>
          <w:szCs w:val="30"/>
        </w:rPr>
      </w:pPr>
      <w:r>
        <w:rPr>
          <w:rFonts w:hint="eastAsia" w:ascii="仿宋_GB2312" w:hAnsi="Segoe UI" w:eastAsia="仿宋_GB2312" w:cs="Segoe UI"/>
          <w:b/>
          <w:bCs/>
          <w:color w:val="333333"/>
          <w:kern w:val="0"/>
          <w:sz w:val="28"/>
          <w:szCs w:val="28"/>
        </w:rPr>
        <w:t>附件4-3：</w:t>
      </w:r>
    </w:p>
    <w:p>
      <w:pPr>
        <w:widowControl/>
        <w:wordWrap w:val="0"/>
        <w:spacing w:line="105" w:lineRule="atLeast"/>
        <w:jc w:val="center"/>
        <w:rPr>
          <w:rFonts w:ascii="黑体" w:hAnsi="黑体" w:eastAsia="黑体"/>
          <w:bCs/>
          <w:sz w:val="28"/>
          <w:szCs w:val="28"/>
        </w:rPr>
      </w:pPr>
      <w:r>
        <w:rPr>
          <w:rFonts w:hint="eastAsia" w:ascii="宋体" w:hAnsi="宋体" w:eastAsia="宋体" w:cs="宋体"/>
          <w:kern w:val="0"/>
          <w:sz w:val="28"/>
          <w:szCs w:val="28"/>
        </w:rPr>
        <w:t>品目及报价表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990"/>
        <w:gridCol w:w="915"/>
        <w:gridCol w:w="765"/>
        <w:gridCol w:w="1575"/>
        <w:gridCol w:w="435"/>
        <w:gridCol w:w="1260"/>
        <w:gridCol w:w="123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序号</w:t>
            </w:r>
          </w:p>
        </w:tc>
        <w:tc>
          <w:tcPr>
            <w:tcW w:w="990"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产品名称</w:t>
            </w:r>
          </w:p>
        </w:tc>
        <w:tc>
          <w:tcPr>
            <w:tcW w:w="915"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制造商名称</w:t>
            </w:r>
          </w:p>
        </w:tc>
        <w:tc>
          <w:tcPr>
            <w:tcW w:w="765"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品牌</w:t>
            </w:r>
          </w:p>
        </w:tc>
        <w:tc>
          <w:tcPr>
            <w:tcW w:w="1575"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包装（小）规格、型号</w:t>
            </w:r>
          </w:p>
        </w:tc>
        <w:tc>
          <w:tcPr>
            <w:tcW w:w="435"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单位</w:t>
            </w:r>
          </w:p>
        </w:tc>
        <w:tc>
          <w:tcPr>
            <w:tcW w:w="1260"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成交单价（元）</w:t>
            </w:r>
          </w:p>
        </w:tc>
        <w:tc>
          <w:tcPr>
            <w:tcW w:w="1230"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成交总价（元）</w:t>
            </w:r>
          </w:p>
        </w:tc>
        <w:tc>
          <w:tcPr>
            <w:tcW w:w="781" w:type="dxa"/>
          </w:tcPr>
          <w:p>
            <w:pPr>
              <w:tabs>
                <w:tab w:val="left" w:pos="6645"/>
              </w:tabs>
              <w:spacing w:line="360" w:lineRule="auto"/>
              <w:contextualSpacing/>
              <w:jc w:val="center"/>
              <w:rPr>
                <w:rFonts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tcPr>
          <w:p>
            <w:pPr>
              <w:tabs>
                <w:tab w:val="left" w:pos="6645"/>
              </w:tabs>
              <w:spacing w:line="360" w:lineRule="auto"/>
              <w:contextualSpacing/>
              <w:rPr>
                <w:rFonts w:ascii="黑体" w:hAnsi="黑体" w:eastAsia="黑体"/>
                <w:bCs/>
                <w:sz w:val="30"/>
                <w:szCs w:val="30"/>
              </w:rPr>
            </w:pPr>
          </w:p>
        </w:tc>
        <w:tc>
          <w:tcPr>
            <w:tcW w:w="990" w:type="dxa"/>
          </w:tcPr>
          <w:p>
            <w:pPr>
              <w:tabs>
                <w:tab w:val="left" w:pos="6645"/>
              </w:tabs>
              <w:spacing w:line="360" w:lineRule="auto"/>
              <w:contextualSpacing/>
              <w:rPr>
                <w:rFonts w:ascii="黑体" w:hAnsi="黑体" w:eastAsia="黑体"/>
                <w:bCs/>
                <w:sz w:val="30"/>
                <w:szCs w:val="30"/>
              </w:rPr>
            </w:pPr>
          </w:p>
        </w:tc>
        <w:tc>
          <w:tcPr>
            <w:tcW w:w="915" w:type="dxa"/>
          </w:tcPr>
          <w:p>
            <w:pPr>
              <w:tabs>
                <w:tab w:val="left" w:pos="6645"/>
              </w:tabs>
              <w:spacing w:line="360" w:lineRule="auto"/>
              <w:contextualSpacing/>
              <w:rPr>
                <w:rFonts w:ascii="黑体" w:hAnsi="黑体" w:eastAsia="黑体"/>
                <w:bCs/>
                <w:sz w:val="30"/>
                <w:szCs w:val="30"/>
              </w:rPr>
            </w:pPr>
          </w:p>
        </w:tc>
        <w:tc>
          <w:tcPr>
            <w:tcW w:w="765" w:type="dxa"/>
          </w:tcPr>
          <w:p>
            <w:pPr>
              <w:tabs>
                <w:tab w:val="left" w:pos="6645"/>
              </w:tabs>
              <w:spacing w:line="360" w:lineRule="auto"/>
              <w:contextualSpacing/>
              <w:rPr>
                <w:rFonts w:ascii="黑体" w:hAnsi="黑体" w:eastAsia="黑体"/>
                <w:bCs/>
                <w:sz w:val="30"/>
                <w:szCs w:val="30"/>
              </w:rPr>
            </w:pPr>
          </w:p>
        </w:tc>
        <w:tc>
          <w:tcPr>
            <w:tcW w:w="1575" w:type="dxa"/>
          </w:tcPr>
          <w:p>
            <w:pPr>
              <w:tabs>
                <w:tab w:val="left" w:pos="6645"/>
              </w:tabs>
              <w:spacing w:line="360" w:lineRule="auto"/>
              <w:contextualSpacing/>
              <w:rPr>
                <w:rFonts w:ascii="黑体" w:hAnsi="黑体" w:eastAsia="黑体"/>
                <w:bCs/>
                <w:sz w:val="30"/>
                <w:szCs w:val="30"/>
              </w:rPr>
            </w:pPr>
          </w:p>
        </w:tc>
        <w:tc>
          <w:tcPr>
            <w:tcW w:w="435" w:type="dxa"/>
          </w:tcPr>
          <w:p>
            <w:pPr>
              <w:tabs>
                <w:tab w:val="left" w:pos="6645"/>
              </w:tabs>
              <w:spacing w:line="360" w:lineRule="auto"/>
              <w:contextualSpacing/>
              <w:rPr>
                <w:rFonts w:ascii="黑体" w:hAnsi="黑体" w:eastAsia="黑体"/>
                <w:bCs/>
                <w:sz w:val="30"/>
                <w:szCs w:val="30"/>
              </w:rPr>
            </w:pPr>
          </w:p>
        </w:tc>
        <w:tc>
          <w:tcPr>
            <w:tcW w:w="1260" w:type="dxa"/>
          </w:tcPr>
          <w:p>
            <w:pPr>
              <w:tabs>
                <w:tab w:val="left" w:pos="6645"/>
              </w:tabs>
              <w:spacing w:line="360" w:lineRule="auto"/>
              <w:contextualSpacing/>
              <w:rPr>
                <w:rFonts w:ascii="黑体" w:hAnsi="黑体" w:eastAsia="黑体"/>
                <w:bCs/>
                <w:sz w:val="30"/>
                <w:szCs w:val="30"/>
              </w:rPr>
            </w:pPr>
          </w:p>
        </w:tc>
        <w:tc>
          <w:tcPr>
            <w:tcW w:w="1230" w:type="dxa"/>
          </w:tcPr>
          <w:p>
            <w:pPr>
              <w:tabs>
                <w:tab w:val="left" w:pos="6645"/>
              </w:tabs>
              <w:spacing w:line="360" w:lineRule="auto"/>
              <w:contextualSpacing/>
              <w:rPr>
                <w:rFonts w:ascii="黑体" w:hAnsi="黑体" w:eastAsia="黑体"/>
                <w:bCs/>
                <w:sz w:val="30"/>
                <w:szCs w:val="30"/>
              </w:rPr>
            </w:pPr>
          </w:p>
        </w:tc>
        <w:tc>
          <w:tcPr>
            <w:tcW w:w="781" w:type="dxa"/>
          </w:tcPr>
          <w:p>
            <w:pPr>
              <w:tabs>
                <w:tab w:val="left" w:pos="6645"/>
              </w:tabs>
              <w:spacing w:line="360" w:lineRule="auto"/>
              <w:contextualSpacing/>
              <w:rPr>
                <w:rFonts w:ascii="黑体" w:hAnsi="黑体"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tcPr>
          <w:p>
            <w:pPr>
              <w:tabs>
                <w:tab w:val="left" w:pos="6645"/>
              </w:tabs>
              <w:spacing w:line="360" w:lineRule="auto"/>
              <w:contextualSpacing/>
              <w:rPr>
                <w:rFonts w:ascii="黑体" w:hAnsi="黑体" w:eastAsia="黑体"/>
                <w:bCs/>
                <w:sz w:val="30"/>
                <w:szCs w:val="30"/>
              </w:rPr>
            </w:pPr>
          </w:p>
        </w:tc>
        <w:tc>
          <w:tcPr>
            <w:tcW w:w="990" w:type="dxa"/>
          </w:tcPr>
          <w:p>
            <w:pPr>
              <w:tabs>
                <w:tab w:val="left" w:pos="6645"/>
              </w:tabs>
              <w:spacing w:line="360" w:lineRule="auto"/>
              <w:contextualSpacing/>
              <w:rPr>
                <w:rFonts w:ascii="黑体" w:hAnsi="黑体" w:eastAsia="黑体"/>
                <w:bCs/>
                <w:sz w:val="30"/>
                <w:szCs w:val="30"/>
              </w:rPr>
            </w:pPr>
          </w:p>
        </w:tc>
        <w:tc>
          <w:tcPr>
            <w:tcW w:w="915" w:type="dxa"/>
          </w:tcPr>
          <w:p>
            <w:pPr>
              <w:tabs>
                <w:tab w:val="left" w:pos="6645"/>
              </w:tabs>
              <w:spacing w:line="360" w:lineRule="auto"/>
              <w:contextualSpacing/>
              <w:rPr>
                <w:rFonts w:ascii="黑体" w:hAnsi="黑体" w:eastAsia="黑体"/>
                <w:bCs/>
                <w:sz w:val="30"/>
                <w:szCs w:val="30"/>
              </w:rPr>
            </w:pPr>
          </w:p>
        </w:tc>
        <w:tc>
          <w:tcPr>
            <w:tcW w:w="765" w:type="dxa"/>
          </w:tcPr>
          <w:p>
            <w:pPr>
              <w:tabs>
                <w:tab w:val="left" w:pos="6645"/>
              </w:tabs>
              <w:spacing w:line="360" w:lineRule="auto"/>
              <w:contextualSpacing/>
              <w:rPr>
                <w:rFonts w:ascii="黑体" w:hAnsi="黑体" w:eastAsia="黑体"/>
                <w:bCs/>
                <w:sz w:val="30"/>
                <w:szCs w:val="30"/>
              </w:rPr>
            </w:pPr>
          </w:p>
        </w:tc>
        <w:tc>
          <w:tcPr>
            <w:tcW w:w="1575" w:type="dxa"/>
          </w:tcPr>
          <w:p>
            <w:pPr>
              <w:tabs>
                <w:tab w:val="left" w:pos="6645"/>
              </w:tabs>
              <w:spacing w:line="360" w:lineRule="auto"/>
              <w:contextualSpacing/>
              <w:rPr>
                <w:rFonts w:ascii="黑体" w:hAnsi="黑体" w:eastAsia="黑体"/>
                <w:bCs/>
                <w:sz w:val="30"/>
                <w:szCs w:val="30"/>
              </w:rPr>
            </w:pPr>
          </w:p>
        </w:tc>
        <w:tc>
          <w:tcPr>
            <w:tcW w:w="435" w:type="dxa"/>
          </w:tcPr>
          <w:p>
            <w:pPr>
              <w:tabs>
                <w:tab w:val="left" w:pos="6645"/>
              </w:tabs>
              <w:spacing w:line="360" w:lineRule="auto"/>
              <w:contextualSpacing/>
              <w:rPr>
                <w:rFonts w:ascii="黑体" w:hAnsi="黑体" w:eastAsia="黑体"/>
                <w:bCs/>
                <w:sz w:val="30"/>
                <w:szCs w:val="30"/>
              </w:rPr>
            </w:pPr>
          </w:p>
        </w:tc>
        <w:tc>
          <w:tcPr>
            <w:tcW w:w="1260" w:type="dxa"/>
          </w:tcPr>
          <w:p>
            <w:pPr>
              <w:tabs>
                <w:tab w:val="left" w:pos="6645"/>
              </w:tabs>
              <w:spacing w:line="360" w:lineRule="auto"/>
              <w:contextualSpacing/>
              <w:rPr>
                <w:rFonts w:ascii="黑体" w:hAnsi="黑体" w:eastAsia="黑体"/>
                <w:bCs/>
                <w:sz w:val="30"/>
                <w:szCs w:val="30"/>
              </w:rPr>
            </w:pPr>
          </w:p>
        </w:tc>
        <w:tc>
          <w:tcPr>
            <w:tcW w:w="1230" w:type="dxa"/>
          </w:tcPr>
          <w:p>
            <w:pPr>
              <w:tabs>
                <w:tab w:val="left" w:pos="6645"/>
              </w:tabs>
              <w:spacing w:line="360" w:lineRule="auto"/>
              <w:contextualSpacing/>
              <w:rPr>
                <w:rFonts w:ascii="黑体" w:hAnsi="黑体" w:eastAsia="黑体"/>
                <w:bCs/>
                <w:sz w:val="30"/>
                <w:szCs w:val="30"/>
              </w:rPr>
            </w:pPr>
          </w:p>
        </w:tc>
        <w:tc>
          <w:tcPr>
            <w:tcW w:w="781" w:type="dxa"/>
          </w:tcPr>
          <w:p>
            <w:pPr>
              <w:tabs>
                <w:tab w:val="left" w:pos="6645"/>
              </w:tabs>
              <w:spacing w:line="360" w:lineRule="auto"/>
              <w:contextualSpacing/>
              <w:rPr>
                <w:rFonts w:ascii="黑体" w:hAnsi="黑体"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tcPr>
          <w:p>
            <w:pPr>
              <w:tabs>
                <w:tab w:val="left" w:pos="6645"/>
              </w:tabs>
              <w:spacing w:line="360" w:lineRule="auto"/>
              <w:contextualSpacing/>
              <w:rPr>
                <w:rFonts w:ascii="黑体" w:hAnsi="黑体" w:eastAsia="黑体"/>
                <w:bCs/>
                <w:sz w:val="30"/>
                <w:szCs w:val="30"/>
              </w:rPr>
            </w:pPr>
          </w:p>
        </w:tc>
        <w:tc>
          <w:tcPr>
            <w:tcW w:w="990" w:type="dxa"/>
          </w:tcPr>
          <w:p>
            <w:pPr>
              <w:tabs>
                <w:tab w:val="left" w:pos="6645"/>
              </w:tabs>
              <w:spacing w:line="360" w:lineRule="auto"/>
              <w:contextualSpacing/>
              <w:rPr>
                <w:rFonts w:ascii="黑体" w:hAnsi="黑体" w:eastAsia="黑体"/>
                <w:bCs/>
                <w:sz w:val="30"/>
                <w:szCs w:val="30"/>
              </w:rPr>
            </w:pPr>
          </w:p>
        </w:tc>
        <w:tc>
          <w:tcPr>
            <w:tcW w:w="915" w:type="dxa"/>
          </w:tcPr>
          <w:p>
            <w:pPr>
              <w:tabs>
                <w:tab w:val="left" w:pos="6645"/>
              </w:tabs>
              <w:spacing w:line="360" w:lineRule="auto"/>
              <w:contextualSpacing/>
              <w:rPr>
                <w:rFonts w:ascii="黑体" w:hAnsi="黑体" w:eastAsia="黑体"/>
                <w:bCs/>
                <w:sz w:val="30"/>
                <w:szCs w:val="30"/>
              </w:rPr>
            </w:pPr>
          </w:p>
        </w:tc>
        <w:tc>
          <w:tcPr>
            <w:tcW w:w="765" w:type="dxa"/>
          </w:tcPr>
          <w:p>
            <w:pPr>
              <w:tabs>
                <w:tab w:val="left" w:pos="6645"/>
              </w:tabs>
              <w:spacing w:line="360" w:lineRule="auto"/>
              <w:contextualSpacing/>
              <w:rPr>
                <w:rFonts w:ascii="黑体" w:hAnsi="黑体" w:eastAsia="黑体"/>
                <w:bCs/>
                <w:sz w:val="30"/>
                <w:szCs w:val="30"/>
              </w:rPr>
            </w:pPr>
          </w:p>
        </w:tc>
        <w:tc>
          <w:tcPr>
            <w:tcW w:w="1575" w:type="dxa"/>
          </w:tcPr>
          <w:p>
            <w:pPr>
              <w:tabs>
                <w:tab w:val="left" w:pos="6645"/>
              </w:tabs>
              <w:spacing w:line="360" w:lineRule="auto"/>
              <w:contextualSpacing/>
              <w:rPr>
                <w:rFonts w:ascii="黑体" w:hAnsi="黑体" w:eastAsia="黑体"/>
                <w:bCs/>
                <w:sz w:val="30"/>
                <w:szCs w:val="30"/>
              </w:rPr>
            </w:pPr>
          </w:p>
        </w:tc>
        <w:tc>
          <w:tcPr>
            <w:tcW w:w="435" w:type="dxa"/>
          </w:tcPr>
          <w:p>
            <w:pPr>
              <w:tabs>
                <w:tab w:val="left" w:pos="6645"/>
              </w:tabs>
              <w:spacing w:line="360" w:lineRule="auto"/>
              <w:contextualSpacing/>
              <w:rPr>
                <w:rFonts w:ascii="黑体" w:hAnsi="黑体" w:eastAsia="黑体"/>
                <w:bCs/>
                <w:sz w:val="30"/>
                <w:szCs w:val="30"/>
              </w:rPr>
            </w:pPr>
          </w:p>
        </w:tc>
        <w:tc>
          <w:tcPr>
            <w:tcW w:w="1260" w:type="dxa"/>
          </w:tcPr>
          <w:p>
            <w:pPr>
              <w:tabs>
                <w:tab w:val="left" w:pos="6645"/>
              </w:tabs>
              <w:spacing w:line="360" w:lineRule="auto"/>
              <w:contextualSpacing/>
              <w:rPr>
                <w:rFonts w:ascii="黑体" w:hAnsi="黑体" w:eastAsia="黑体"/>
                <w:bCs/>
                <w:sz w:val="30"/>
                <w:szCs w:val="30"/>
              </w:rPr>
            </w:pPr>
          </w:p>
        </w:tc>
        <w:tc>
          <w:tcPr>
            <w:tcW w:w="1230" w:type="dxa"/>
          </w:tcPr>
          <w:p>
            <w:pPr>
              <w:tabs>
                <w:tab w:val="left" w:pos="6645"/>
              </w:tabs>
              <w:spacing w:line="360" w:lineRule="auto"/>
              <w:contextualSpacing/>
              <w:rPr>
                <w:rFonts w:ascii="黑体" w:hAnsi="黑体" w:eastAsia="黑体"/>
                <w:bCs/>
                <w:sz w:val="30"/>
                <w:szCs w:val="30"/>
              </w:rPr>
            </w:pPr>
          </w:p>
        </w:tc>
        <w:tc>
          <w:tcPr>
            <w:tcW w:w="781" w:type="dxa"/>
          </w:tcPr>
          <w:p>
            <w:pPr>
              <w:tabs>
                <w:tab w:val="left" w:pos="6645"/>
              </w:tabs>
              <w:spacing w:line="360" w:lineRule="auto"/>
              <w:contextualSpacing/>
              <w:rPr>
                <w:rFonts w:ascii="黑体" w:hAnsi="黑体"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tcPr>
          <w:p>
            <w:pPr>
              <w:tabs>
                <w:tab w:val="left" w:pos="6645"/>
              </w:tabs>
              <w:spacing w:line="360" w:lineRule="auto"/>
              <w:contextualSpacing/>
              <w:rPr>
                <w:rFonts w:ascii="黑体" w:hAnsi="黑体" w:eastAsia="黑体"/>
                <w:bCs/>
                <w:sz w:val="30"/>
                <w:szCs w:val="30"/>
              </w:rPr>
            </w:pPr>
          </w:p>
        </w:tc>
        <w:tc>
          <w:tcPr>
            <w:tcW w:w="990" w:type="dxa"/>
          </w:tcPr>
          <w:p>
            <w:pPr>
              <w:tabs>
                <w:tab w:val="left" w:pos="6645"/>
              </w:tabs>
              <w:spacing w:line="360" w:lineRule="auto"/>
              <w:contextualSpacing/>
              <w:rPr>
                <w:rFonts w:ascii="黑体" w:hAnsi="黑体" w:eastAsia="黑体"/>
                <w:bCs/>
                <w:sz w:val="30"/>
                <w:szCs w:val="30"/>
              </w:rPr>
            </w:pPr>
          </w:p>
        </w:tc>
        <w:tc>
          <w:tcPr>
            <w:tcW w:w="915" w:type="dxa"/>
          </w:tcPr>
          <w:p>
            <w:pPr>
              <w:tabs>
                <w:tab w:val="left" w:pos="6645"/>
              </w:tabs>
              <w:spacing w:line="360" w:lineRule="auto"/>
              <w:contextualSpacing/>
              <w:rPr>
                <w:rFonts w:ascii="黑体" w:hAnsi="黑体" w:eastAsia="黑体"/>
                <w:bCs/>
                <w:sz w:val="30"/>
                <w:szCs w:val="30"/>
              </w:rPr>
            </w:pPr>
          </w:p>
        </w:tc>
        <w:tc>
          <w:tcPr>
            <w:tcW w:w="765" w:type="dxa"/>
          </w:tcPr>
          <w:p>
            <w:pPr>
              <w:tabs>
                <w:tab w:val="left" w:pos="6645"/>
              </w:tabs>
              <w:spacing w:line="360" w:lineRule="auto"/>
              <w:contextualSpacing/>
              <w:rPr>
                <w:rFonts w:ascii="黑体" w:hAnsi="黑体" w:eastAsia="黑体"/>
                <w:bCs/>
                <w:sz w:val="30"/>
                <w:szCs w:val="30"/>
              </w:rPr>
            </w:pPr>
          </w:p>
        </w:tc>
        <w:tc>
          <w:tcPr>
            <w:tcW w:w="1575" w:type="dxa"/>
          </w:tcPr>
          <w:p>
            <w:pPr>
              <w:tabs>
                <w:tab w:val="left" w:pos="6645"/>
              </w:tabs>
              <w:spacing w:line="360" w:lineRule="auto"/>
              <w:contextualSpacing/>
              <w:rPr>
                <w:rFonts w:ascii="黑体" w:hAnsi="黑体" w:eastAsia="黑体"/>
                <w:bCs/>
                <w:sz w:val="30"/>
                <w:szCs w:val="30"/>
              </w:rPr>
            </w:pPr>
          </w:p>
        </w:tc>
        <w:tc>
          <w:tcPr>
            <w:tcW w:w="435" w:type="dxa"/>
          </w:tcPr>
          <w:p>
            <w:pPr>
              <w:tabs>
                <w:tab w:val="left" w:pos="6645"/>
              </w:tabs>
              <w:spacing w:line="360" w:lineRule="auto"/>
              <w:contextualSpacing/>
              <w:rPr>
                <w:rFonts w:ascii="黑体" w:hAnsi="黑体" w:eastAsia="黑体"/>
                <w:bCs/>
                <w:sz w:val="30"/>
                <w:szCs w:val="30"/>
              </w:rPr>
            </w:pPr>
          </w:p>
        </w:tc>
        <w:tc>
          <w:tcPr>
            <w:tcW w:w="1260" w:type="dxa"/>
          </w:tcPr>
          <w:p>
            <w:pPr>
              <w:tabs>
                <w:tab w:val="left" w:pos="6645"/>
              </w:tabs>
              <w:spacing w:line="360" w:lineRule="auto"/>
              <w:contextualSpacing/>
              <w:rPr>
                <w:rFonts w:ascii="黑体" w:hAnsi="黑体" w:eastAsia="黑体"/>
                <w:bCs/>
                <w:sz w:val="30"/>
                <w:szCs w:val="30"/>
              </w:rPr>
            </w:pPr>
          </w:p>
        </w:tc>
        <w:tc>
          <w:tcPr>
            <w:tcW w:w="1230" w:type="dxa"/>
          </w:tcPr>
          <w:p>
            <w:pPr>
              <w:tabs>
                <w:tab w:val="left" w:pos="6645"/>
              </w:tabs>
              <w:spacing w:line="360" w:lineRule="auto"/>
              <w:contextualSpacing/>
              <w:rPr>
                <w:rFonts w:ascii="黑体" w:hAnsi="黑体" w:eastAsia="黑体"/>
                <w:bCs/>
                <w:sz w:val="30"/>
                <w:szCs w:val="30"/>
              </w:rPr>
            </w:pPr>
          </w:p>
        </w:tc>
        <w:tc>
          <w:tcPr>
            <w:tcW w:w="781" w:type="dxa"/>
          </w:tcPr>
          <w:p>
            <w:pPr>
              <w:tabs>
                <w:tab w:val="left" w:pos="6645"/>
              </w:tabs>
              <w:spacing w:line="360" w:lineRule="auto"/>
              <w:contextualSpacing/>
              <w:rPr>
                <w:rFonts w:ascii="黑体" w:hAnsi="黑体" w:eastAsia="黑体"/>
                <w:bCs/>
                <w:sz w:val="30"/>
                <w:szCs w:val="30"/>
              </w:rPr>
            </w:pPr>
          </w:p>
        </w:tc>
      </w:tr>
    </w:tbl>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注：1.报价应是最终用户验收合格后的总价，包括设备运输、保险、代理、安装调试、培训、税费、系统集成费用和采购文件规定的其它费用。</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2.“序号”，按照各产品技术参数对应的序号填写。</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3.“品目及报价表”为多页的，每页均需由法定代表人或授权代表签字并盖投标人印章。</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4.“品目及报价表”需单独密封。</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5、如有配套耗材，请参照此表报价。</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6、如有多种规格，请按每种规格分别报价。</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供应商名称：（盖章）</w:t>
      </w:r>
    </w:p>
    <w:p>
      <w:pPr>
        <w:tabs>
          <w:tab w:val="left" w:pos="6645"/>
        </w:tabs>
        <w:spacing w:line="360" w:lineRule="auto"/>
        <w:contextualSpacing/>
        <w:jc w:val="left"/>
        <w:rPr>
          <w:rFonts w:hint="eastAsia" w:ascii="仿宋_GB2312" w:eastAsia="仿宋_GB2312"/>
          <w:sz w:val="24"/>
          <w:szCs w:val="24"/>
        </w:rPr>
      </w:pPr>
      <w:r>
        <w:rPr>
          <w:rFonts w:hint="eastAsia" w:ascii="仿宋_GB2312" w:eastAsia="仿宋_GB2312"/>
          <w:sz w:val="24"/>
          <w:szCs w:val="24"/>
        </w:rPr>
        <w:t>法定代表人或授权代表（签字）：</w:t>
      </w:r>
      <w:r>
        <w:rPr>
          <w:rFonts w:hint="eastAsia" w:ascii="仿宋_GB2312" w:eastAsia="仿宋_GB2312"/>
          <w:sz w:val="24"/>
          <w:szCs w:val="24"/>
          <w:lang w:val="en-US" w:eastAsia="zh-CN"/>
        </w:rPr>
        <w:t xml:space="preserve">               </w:t>
      </w:r>
      <w:r>
        <w:rPr>
          <w:rFonts w:hint="eastAsia" w:ascii="仿宋_GB2312" w:eastAsia="仿宋_GB2312"/>
          <w:sz w:val="24"/>
          <w:szCs w:val="24"/>
        </w:rPr>
        <w:t>日期：</w:t>
      </w: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宋体" w:hAnsi="宋体" w:eastAsia="宋体" w:cs="宋体"/>
          <w:bCs/>
          <w:sz w:val="24"/>
          <w:szCs w:val="24"/>
        </w:rPr>
      </w:pPr>
    </w:p>
    <w:p>
      <w:pPr>
        <w:tabs>
          <w:tab w:val="left" w:pos="6645"/>
        </w:tabs>
        <w:spacing w:line="360" w:lineRule="auto"/>
        <w:contextualSpacing/>
        <w:rPr>
          <w:rFonts w:hint="eastAsia" w:ascii="仿宋_GB2312" w:hAnsi="Segoe UI" w:eastAsia="仿宋_GB2312" w:cs="Segoe UI"/>
          <w:b/>
          <w:bCs/>
          <w:color w:val="333333"/>
          <w:kern w:val="0"/>
          <w:sz w:val="28"/>
          <w:szCs w:val="28"/>
        </w:rPr>
      </w:pPr>
      <w:r>
        <w:rPr>
          <w:rFonts w:hint="eastAsia" w:ascii="仿宋_GB2312" w:hAnsi="Segoe UI" w:eastAsia="仿宋_GB2312" w:cs="Segoe UI"/>
          <w:b/>
          <w:bCs/>
          <w:color w:val="333333"/>
          <w:kern w:val="0"/>
          <w:sz w:val="28"/>
          <w:szCs w:val="28"/>
        </w:rPr>
        <w:t>附件4-4：法定代表人身份授权书</w:t>
      </w:r>
    </w:p>
    <w:p>
      <w:pPr>
        <w:tabs>
          <w:tab w:val="left" w:pos="6645"/>
        </w:tabs>
        <w:spacing w:line="360" w:lineRule="auto"/>
        <w:contextualSpacing/>
        <w:jc w:val="center"/>
        <w:rPr>
          <w:rFonts w:ascii="黑体" w:hAnsi="黑体" w:eastAsia="黑体"/>
          <w:sz w:val="24"/>
          <w:szCs w:val="24"/>
        </w:rPr>
      </w:pPr>
      <w:r>
        <w:rPr>
          <w:rFonts w:hint="eastAsia" w:ascii="黑体" w:hAnsi="黑体" w:eastAsia="黑体"/>
          <w:sz w:val="24"/>
          <w:szCs w:val="24"/>
        </w:rPr>
        <w:t>法定代表人身份授权书</w:t>
      </w:r>
    </w:p>
    <w:p>
      <w:pPr>
        <w:tabs>
          <w:tab w:val="left" w:pos="6645"/>
        </w:tabs>
        <w:spacing w:line="360" w:lineRule="auto"/>
        <w:contextualSpacing/>
        <w:jc w:val="center"/>
        <w:rPr>
          <w:rFonts w:ascii="黑体" w:hAnsi="黑体" w:eastAsia="黑体"/>
          <w:sz w:val="24"/>
          <w:szCs w:val="24"/>
        </w:rPr>
      </w:pPr>
    </w:p>
    <w:p>
      <w:pPr>
        <w:tabs>
          <w:tab w:val="left" w:pos="6645"/>
        </w:tabs>
        <w:spacing w:line="360" w:lineRule="auto"/>
        <w:contextualSpacing/>
        <w:jc w:val="center"/>
        <w:rPr>
          <w:rFonts w:ascii="仿宋_GB2312" w:eastAsia="仿宋_GB2312"/>
          <w:sz w:val="24"/>
          <w:szCs w:val="24"/>
        </w:rPr>
      </w:pPr>
      <w:r>
        <w:rPr>
          <w:rFonts w:hint="eastAsia" w:ascii="仿宋_GB2312" w:eastAsia="仿宋_GB2312"/>
          <w:sz w:val="24"/>
          <w:szCs w:val="24"/>
        </w:rPr>
        <w:t>（采购单位名称）：</w:t>
      </w:r>
    </w:p>
    <w:p>
      <w:pPr>
        <w:tabs>
          <w:tab w:val="left" w:pos="6645"/>
        </w:tabs>
        <w:spacing w:line="360" w:lineRule="auto"/>
        <w:ind w:firstLine="480" w:firstLineChars="200"/>
        <w:contextualSpacing/>
        <w:rPr>
          <w:rFonts w:ascii="仿宋_GB2312" w:eastAsia="仿宋_GB2312"/>
          <w:sz w:val="24"/>
          <w:szCs w:val="24"/>
        </w:rPr>
      </w:pPr>
      <w:r>
        <w:rPr>
          <w:rFonts w:hint="eastAsia" w:ascii="仿宋_GB2312" w:eastAsia="仿宋_GB2312"/>
          <w:sz w:val="24"/>
          <w:szCs w:val="24"/>
        </w:rPr>
        <w:t xml:space="preserve"> 本授权声明：                         （投标人名称）          </w:t>
      </w:r>
    </w:p>
    <w:p>
      <w:pPr>
        <w:tabs>
          <w:tab w:val="left" w:pos="6645"/>
        </w:tabs>
        <w:spacing w:line="360" w:lineRule="auto"/>
        <w:contextualSpacing/>
        <w:jc w:val="left"/>
        <w:rPr>
          <w:rFonts w:ascii="仿宋_GB2312" w:eastAsia="仿宋_GB2312"/>
          <w:sz w:val="24"/>
          <w:szCs w:val="24"/>
        </w:rPr>
      </w:pPr>
      <w:r>
        <w:rPr>
          <w:rFonts w:hint="eastAsia" w:ascii="仿宋_GB2312" w:eastAsia="仿宋_GB2312"/>
          <w:sz w:val="24"/>
          <w:szCs w:val="24"/>
        </w:rPr>
        <w:t xml:space="preserve">       （法定代表人姓名、职务）授权                          （被授权人姓名、职务）为我方 “                                          ”项目投标活动的合法代表，以我方名义全权处理该项目有关投标、签订合同以及执行合同等一切事宜。</w:t>
      </w:r>
    </w:p>
    <w:p>
      <w:pPr>
        <w:tabs>
          <w:tab w:val="left" w:pos="6645"/>
        </w:tabs>
        <w:spacing w:line="360" w:lineRule="auto"/>
        <w:ind w:firstLine="480" w:firstLineChars="200"/>
        <w:contextualSpacing/>
        <w:rPr>
          <w:rFonts w:ascii="仿宋_GB2312" w:eastAsia="仿宋_GB2312"/>
          <w:sz w:val="24"/>
          <w:szCs w:val="24"/>
        </w:rPr>
      </w:pPr>
      <w:r>
        <w:rPr>
          <w:rFonts w:hint="eastAsia" w:ascii="仿宋_GB2312" w:eastAsia="仿宋_GB2312"/>
          <w:sz w:val="24"/>
          <w:szCs w:val="24"/>
        </w:rPr>
        <w:t>特此声明。</w:t>
      </w:r>
    </w:p>
    <w:p>
      <w:pPr>
        <w:tabs>
          <w:tab w:val="left" w:pos="6645"/>
        </w:tabs>
        <w:spacing w:line="360" w:lineRule="auto"/>
        <w:contextualSpacing/>
        <w:jc w:val="center"/>
        <w:rPr>
          <w:rFonts w:ascii="仿宋_GB2312" w:eastAsia="仿宋_GB2312"/>
          <w:sz w:val="24"/>
          <w:szCs w:val="24"/>
        </w:rPr>
      </w:pPr>
      <w:r>
        <w:rPr>
          <w:rFonts w:hint="eastAsia" w:ascii="仿宋_GB2312" w:eastAsia="仿宋_GB2312"/>
          <w:sz w:val="24"/>
          <w:szCs w:val="24"/>
        </w:rPr>
        <w:t xml:space="preserve">              法定代表人签字：</w:t>
      </w:r>
    </w:p>
    <w:p>
      <w:pPr>
        <w:tabs>
          <w:tab w:val="left" w:pos="6645"/>
        </w:tabs>
        <w:spacing w:line="360" w:lineRule="auto"/>
        <w:contextualSpacing/>
        <w:jc w:val="center"/>
        <w:rPr>
          <w:rFonts w:ascii="仿宋_GB2312" w:eastAsia="仿宋_GB2312"/>
          <w:sz w:val="24"/>
          <w:szCs w:val="24"/>
        </w:rPr>
      </w:pPr>
      <w:r>
        <w:rPr>
          <w:rFonts w:hint="eastAsia" w:ascii="仿宋_GB2312" w:eastAsia="仿宋_GB2312"/>
          <w:sz w:val="24"/>
          <w:szCs w:val="24"/>
        </w:rPr>
        <w:t xml:space="preserve">             授权代表签字：</w:t>
      </w:r>
    </w:p>
    <w:p>
      <w:pPr>
        <w:tabs>
          <w:tab w:val="left" w:pos="6645"/>
        </w:tabs>
        <w:spacing w:line="360" w:lineRule="auto"/>
        <w:ind w:firstLine="3120" w:firstLineChars="1300"/>
        <w:contextualSpacing/>
        <w:rPr>
          <w:rFonts w:ascii="仿宋_GB2312" w:eastAsia="仿宋_GB2312"/>
          <w:sz w:val="24"/>
          <w:szCs w:val="24"/>
        </w:rPr>
      </w:pPr>
      <w:r>
        <w:rPr>
          <w:rFonts w:hint="eastAsia" w:ascii="仿宋_GB2312" w:eastAsia="仿宋_GB2312"/>
          <w:sz w:val="24"/>
          <w:szCs w:val="24"/>
        </w:rPr>
        <w:t xml:space="preserve">投标人名称： </w:t>
      </w:r>
    </w:p>
    <w:p>
      <w:pPr>
        <w:tabs>
          <w:tab w:val="left" w:pos="6645"/>
        </w:tabs>
        <w:spacing w:line="360" w:lineRule="auto"/>
        <w:contextualSpacing/>
        <w:jc w:val="center"/>
        <w:rPr>
          <w:rFonts w:ascii="仿宋_GB2312" w:eastAsia="仿宋_GB2312"/>
          <w:sz w:val="24"/>
          <w:szCs w:val="24"/>
        </w:rPr>
      </w:pPr>
      <w:r>
        <w:rPr>
          <w:rFonts w:hint="eastAsia" w:ascii="仿宋_GB2312" w:eastAsia="仿宋_GB2312"/>
          <w:sz w:val="24"/>
          <w:szCs w:val="24"/>
        </w:rPr>
        <w:t xml:space="preserve">             （加盖公章）</w:t>
      </w:r>
    </w:p>
    <w:p>
      <w:pPr>
        <w:tabs>
          <w:tab w:val="left" w:pos="6645"/>
        </w:tabs>
        <w:spacing w:line="360" w:lineRule="auto"/>
        <w:contextualSpacing/>
        <w:jc w:val="center"/>
        <w:rPr>
          <w:rFonts w:ascii="仿宋_GB2312" w:eastAsia="仿宋_GB2312"/>
          <w:sz w:val="24"/>
          <w:szCs w:val="24"/>
        </w:rPr>
      </w:pPr>
      <w:r>
        <w:rPr>
          <w:rFonts w:hint="eastAsia" w:ascii="仿宋_GB2312" w:eastAsia="仿宋_GB2312"/>
          <w:sz w:val="24"/>
          <w:szCs w:val="24"/>
        </w:rPr>
        <w:t xml:space="preserve">       日期：</w:t>
      </w:r>
    </w:p>
    <w:p>
      <w:pPr>
        <w:tabs>
          <w:tab w:val="left" w:pos="6645"/>
        </w:tabs>
        <w:spacing w:line="360" w:lineRule="auto"/>
        <w:contextualSpacing/>
        <w:jc w:val="center"/>
        <w:rPr>
          <w:rFonts w:ascii="仿宋_GB2312" w:eastAsia="仿宋_GB2312"/>
          <w:sz w:val="24"/>
          <w:szCs w:val="24"/>
        </w:rPr>
      </w:pPr>
    </w:p>
    <w:p>
      <w:pPr>
        <w:tabs>
          <w:tab w:val="left" w:pos="6645"/>
        </w:tabs>
        <w:spacing w:line="360" w:lineRule="auto"/>
        <w:contextualSpacing/>
        <w:jc w:val="left"/>
        <w:rPr>
          <w:rFonts w:ascii="仿宋_GB2312" w:eastAsia="仿宋_GB2312"/>
          <w:sz w:val="24"/>
          <w:szCs w:val="24"/>
        </w:rPr>
      </w:pPr>
      <w:r>
        <w:rPr>
          <w:rFonts w:hint="eastAsia" w:ascii="仿宋_GB2312" w:eastAsia="仿宋_GB2312"/>
          <w:b/>
          <w:bCs/>
          <w:sz w:val="24"/>
          <w:szCs w:val="24"/>
        </w:rPr>
        <w:t>说明：</w:t>
      </w:r>
      <w:r>
        <w:rPr>
          <w:rFonts w:hint="eastAsia" w:ascii="仿宋_GB2312" w:eastAsia="仿宋_GB2312"/>
          <w:sz w:val="24"/>
          <w:szCs w:val="24"/>
        </w:rPr>
        <w:t>上述证明文件附有法定代表人、被授权代表身份证复印件（加盖公章）时才能生效。</w:t>
      </w:r>
    </w:p>
    <w:p>
      <w:pPr>
        <w:tabs>
          <w:tab w:val="left" w:pos="6645"/>
        </w:tabs>
        <w:spacing w:line="360" w:lineRule="auto"/>
        <w:contextualSpacing/>
        <w:rPr>
          <w:rFonts w:ascii="仿宋_GB2312" w:hAnsi="宋体" w:eastAsia="仿宋_GB2312"/>
          <w:sz w:val="30"/>
          <w:szCs w:val="30"/>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rPr>
          <w:rFonts w:ascii="仿宋_GB2312" w:hAnsi="Segoe UI" w:eastAsia="仿宋_GB2312" w:cs="Segoe UI"/>
          <w:b/>
          <w:bCs/>
          <w:color w:val="333333"/>
          <w:kern w:val="0"/>
          <w:sz w:val="28"/>
          <w:szCs w:val="28"/>
        </w:rPr>
      </w:pPr>
    </w:p>
    <w:p>
      <w:pPr>
        <w:tabs>
          <w:tab w:val="left" w:pos="6645"/>
        </w:tabs>
        <w:spacing w:line="360" w:lineRule="auto"/>
        <w:contextualSpacing/>
        <w:jc w:val="both"/>
        <w:rPr>
          <w:rFonts w:hint="eastAsia" w:ascii="仿宋_GB2312" w:hAnsi="Segoe UI" w:eastAsia="仿宋_GB2312" w:cs="Segoe UI"/>
          <w:b/>
          <w:bCs/>
          <w:color w:val="333333"/>
          <w:kern w:val="0"/>
          <w:sz w:val="28"/>
          <w:szCs w:val="28"/>
          <w:lang w:val="en-US" w:eastAsia="zh-CN"/>
        </w:rPr>
      </w:pPr>
      <w:r>
        <w:rPr>
          <w:rFonts w:hint="eastAsia" w:ascii="仿宋_GB2312" w:hAnsi="Segoe UI" w:eastAsia="仿宋_GB2312" w:cs="Segoe UI"/>
          <w:b/>
          <w:bCs/>
          <w:color w:val="333333"/>
          <w:kern w:val="0"/>
          <w:sz w:val="28"/>
          <w:szCs w:val="28"/>
        </w:rPr>
        <w:t>附件5</w:t>
      </w:r>
      <w:r>
        <w:rPr>
          <w:rFonts w:hint="eastAsia" w:ascii="仿宋_GB2312" w:hAnsi="Segoe UI" w:eastAsia="仿宋_GB2312" w:cs="Segoe UI"/>
          <w:b/>
          <w:bCs/>
          <w:color w:val="333333"/>
          <w:kern w:val="0"/>
          <w:sz w:val="28"/>
          <w:szCs w:val="28"/>
          <w:lang w:val="en-US" w:eastAsia="zh-CN"/>
        </w:rPr>
        <w:t xml:space="preserve">                  </w:t>
      </w:r>
    </w:p>
    <w:p>
      <w:pPr>
        <w:pStyle w:val="2"/>
        <w:bidi w:val="0"/>
        <w:jc w:val="center"/>
        <w:rPr>
          <w:rFonts w:ascii="黑体" w:hAnsi="黑体" w:eastAsia="黑体"/>
          <w:szCs w:val="24"/>
        </w:rPr>
      </w:pPr>
      <w:r>
        <w:rPr>
          <w:rFonts w:hint="eastAsia"/>
        </w:rPr>
        <w:t>反商业贿赂承诺书</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二、本厂家、商家、公司保证在药品、医疗器械、设备、物资、基建工程竞标工作及药品、试剂销售等工作中承诺做到：</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1.不与其他投标人相互串通投标报价，损害贵院的合法权益；</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2.不与招标人串通投标，损害国家利益、社会公共利益或他人的合法权益；</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3.不以向招标人或者评标委员会成员行贿的手段谋取中标；</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4.竞标报价不违反相关法律的规定，也不以他人名义投标或者以其他方式弄虚作假，骗取中标；</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5.保证不以其他任何方式扰乱贵院的招标工作；</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6.保证不在药品销售、医疗器械、设备、物资、基建工程竞标中采取账外暗中给予回扣的手段腐蚀、贿赂医护、药剂人员、干部等其他相关人员；</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8.保证不让贵院临床科室、药剂部门以及有关人员登记、统计医生处方或为此提供方便，干扰贵院的正常工作秩序；</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9.保证不以其他任何不正当竞争手段推销药品、医疗器械、设备、物资。</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三、本厂家、商家、公司保证竭力维护贵院的声誉，不做任何有损贵院形象的事情。</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五、对本厂家、商家、公司及本厂家、商家、公司工作人员采取以上手段竞标、促销等，干扰贵院正常工作秩序，损害贵院形象的，本厂家、商家、公司保证：</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1.对尚处在竞标阶段的，贵院有权取消本厂家、商家、公司的竞标资格；已经中标的，贵院有权取消中标；对已经获得准入资格的，贵院有权随时取消本厂家、商家、公司的准入资格；</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2.对本厂家、商家、公司相关工作人员作出严肃处理；</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3.对由于本厂家、商家、公司或本厂家、商家、公司工作人员的上述行为给贵院造成经济或名誉损失的，由本厂家、商家、公司负责，并愿意承担全部民事赔偿责任。</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 xml:space="preserve">六、采购物资名称：                                  </w:t>
      </w:r>
    </w:p>
    <w:p>
      <w:pPr>
        <w:tabs>
          <w:tab w:val="left" w:pos="6645"/>
        </w:tabs>
        <w:spacing w:line="360" w:lineRule="auto"/>
        <w:ind w:firstLine="480" w:firstLineChars="200"/>
        <w:contextualSpacing/>
        <w:rPr>
          <w:rFonts w:hint="eastAsia" w:ascii="仿宋_GB2312" w:eastAsia="仿宋_GB2312"/>
          <w:sz w:val="24"/>
          <w:szCs w:val="24"/>
        </w:rPr>
      </w:pP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本《承诺书》一式二份（一份由承诺人自存；一份随竞价书传递）</w:t>
      </w:r>
    </w:p>
    <w:p>
      <w:pPr>
        <w:tabs>
          <w:tab w:val="left" w:pos="6645"/>
        </w:tabs>
        <w:spacing w:line="360" w:lineRule="auto"/>
        <w:ind w:firstLine="480" w:firstLineChars="200"/>
        <w:contextualSpacing/>
        <w:rPr>
          <w:rFonts w:hint="eastAsia" w:ascii="仿宋_GB2312" w:eastAsia="仿宋_GB2312"/>
          <w:sz w:val="24"/>
          <w:szCs w:val="24"/>
        </w:rPr>
      </w:pPr>
      <w:r>
        <w:rPr>
          <w:rFonts w:hint="eastAsia" w:ascii="仿宋_GB2312" w:eastAsia="仿宋_GB2312"/>
          <w:sz w:val="24"/>
          <w:szCs w:val="24"/>
        </w:rPr>
        <w:t xml:space="preserve">承诺企业名称（公章）     </w:t>
      </w:r>
      <w:bookmarkStart w:id="0" w:name="_GoBack"/>
      <w:bookmarkEnd w:id="0"/>
      <w:r>
        <w:rPr>
          <w:rFonts w:hint="eastAsia" w:ascii="仿宋_GB2312" w:eastAsia="仿宋_GB2312"/>
          <w:sz w:val="24"/>
          <w:szCs w:val="24"/>
        </w:rPr>
        <w:t xml:space="preserve">   法人代表或委托代理人（承诺人） </w:t>
      </w:r>
    </w:p>
    <w:p>
      <w:pPr>
        <w:tabs>
          <w:tab w:val="left" w:pos="6645"/>
        </w:tabs>
        <w:spacing w:line="360" w:lineRule="auto"/>
        <w:ind w:firstLine="480" w:firstLineChars="200"/>
        <w:contextualSpacing/>
        <w:rPr>
          <w:rFonts w:hint="eastAsia" w:ascii="仿宋_GB2312" w:eastAsia="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71F66E7"/>
    <w:rsid w:val="00103580"/>
    <w:rsid w:val="0016078A"/>
    <w:rsid w:val="003055A1"/>
    <w:rsid w:val="003D637D"/>
    <w:rsid w:val="00A65185"/>
    <w:rsid w:val="00A72998"/>
    <w:rsid w:val="02CF1E07"/>
    <w:rsid w:val="06557F81"/>
    <w:rsid w:val="08E72FC9"/>
    <w:rsid w:val="0A6B1F28"/>
    <w:rsid w:val="0AD12425"/>
    <w:rsid w:val="0B9F16EF"/>
    <w:rsid w:val="0DCC5993"/>
    <w:rsid w:val="129B6AC4"/>
    <w:rsid w:val="16A34458"/>
    <w:rsid w:val="17A51281"/>
    <w:rsid w:val="19AC681D"/>
    <w:rsid w:val="1E887FD5"/>
    <w:rsid w:val="1FC253C3"/>
    <w:rsid w:val="20593B71"/>
    <w:rsid w:val="2109504F"/>
    <w:rsid w:val="227C3E4B"/>
    <w:rsid w:val="25073F5B"/>
    <w:rsid w:val="2CF17E5D"/>
    <w:rsid w:val="3302114B"/>
    <w:rsid w:val="35F80B06"/>
    <w:rsid w:val="370077ED"/>
    <w:rsid w:val="3CF03D06"/>
    <w:rsid w:val="434C03AD"/>
    <w:rsid w:val="47A83EB7"/>
    <w:rsid w:val="47C01C25"/>
    <w:rsid w:val="483D713D"/>
    <w:rsid w:val="4C620947"/>
    <w:rsid w:val="4D9E0134"/>
    <w:rsid w:val="4F7D70C6"/>
    <w:rsid w:val="51C9071F"/>
    <w:rsid w:val="536D3E4F"/>
    <w:rsid w:val="58FB5088"/>
    <w:rsid w:val="5ABA0263"/>
    <w:rsid w:val="5CC95E45"/>
    <w:rsid w:val="5F5659A8"/>
    <w:rsid w:val="63A2086C"/>
    <w:rsid w:val="683749E1"/>
    <w:rsid w:val="68D24851"/>
    <w:rsid w:val="6FE11695"/>
    <w:rsid w:val="72457AD9"/>
    <w:rsid w:val="72FD69CA"/>
    <w:rsid w:val="73DA505E"/>
    <w:rsid w:val="749F031F"/>
    <w:rsid w:val="753348F8"/>
    <w:rsid w:val="7665247F"/>
    <w:rsid w:val="771F66E7"/>
    <w:rsid w:val="7B8C6E80"/>
    <w:rsid w:val="7D5106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9"/>
    <w:uiPriority w:val="0"/>
    <w:pPr>
      <w:tabs>
        <w:tab w:val="center" w:pos="4153"/>
        <w:tab w:val="right" w:pos="8306"/>
      </w:tabs>
      <w:snapToGrid w:val="0"/>
      <w:jc w:val="left"/>
    </w:pPr>
    <w:rPr>
      <w:sz w:val="18"/>
      <w:szCs w:val="18"/>
    </w:rPr>
  </w:style>
  <w:style w:type="paragraph" w:styleId="4">
    <w:name w:val="header"/>
    <w:basedOn w:val="1"/>
    <w:link w:val="2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135"/>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444444"/>
      <w:u w:val="none"/>
    </w:rPr>
  </w:style>
  <w:style w:type="character" w:styleId="11">
    <w:name w:val="Emphasis"/>
    <w:basedOn w:val="8"/>
    <w:qFormat/>
    <w:uiPriority w:val="0"/>
    <w:rPr>
      <w:b/>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444444"/>
      <w:u w:val="none"/>
    </w:rPr>
  </w:style>
  <w:style w:type="character" w:styleId="15">
    <w:name w:val="HTML Code"/>
    <w:basedOn w:val="8"/>
    <w:qFormat/>
    <w:uiPriority w:val="0"/>
    <w:rPr>
      <w:rFonts w:ascii="Courier New" w:hAnsi="Courier New"/>
      <w:sz w:val="20"/>
      <w:shd w:val="clear" w:color="auto" w:fill="222222"/>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character" w:customStyle="1" w:styleId="19">
    <w:name w:val="first-child"/>
    <w:basedOn w:val="8"/>
    <w:qFormat/>
    <w:uiPriority w:val="0"/>
  </w:style>
  <w:style w:type="character" w:customStyle="1" w:styleId="20">
    <w:name w:val="last-child"/>
    <w:basedOn w:val="8"/>
    <w:qFormat/>
    <w:uiPriority w:val="0"/>
  </w:style>
  <w:style w:type="character" w:customStyle="1" w:styleId="21">
    <w:name w:val="last-child1"/>
    <w:basedOn w:val="8"/>
    <w:qFormat/>
    <w:uiPriority w:val="0"/>
  </w:style>
  <w:style w:type="character" w:customStyle="1" w:styleId="22">
    <w:name w:val="cur17"/>
    <w:basedOn w:val="8"/>
    <w:qFormat/>
    <w:uiPriority w:val="0"/>
    <w:rPr>
      <w:color w:val="FFFFFF"/>
      <w:shd w:val="clear" w:color="auto" w:fill="03A560"/>
    </w:rPr>
  </w:style>
  <w:style w:type="character" w:customStyle="1" w:styleId="23">
    <w:name w:val="after9"/>
    <w:basedOn w:val="8"/>
    <w:qFormat/>
    <w:uiPriority w:val="0"/>
    <w:rPr>
      <w:rFonts w:hint="default" w:ascii="iconfont" w:hAnsi="iconfont" w:eastAsia="iconfont" w:cs="iconfont"/>
      <w:sz w:val="21"/>
      <w:szCs w:val="21"/>
    </w:rPr>
  </w:style>
  <w:style w:type="character" w:customStyle="1" w:styleId="24">
    <w:name w:val="after10"/>
    <w:basedOn w:val="8"/>
    <w:qFormat/>
    <w:uiPriority w:val="0"/>
    <w:rPr>
      <w:rFonts w:hint="default" w:ascii="iconfont" w:hAnsi="iconfont" w:eastAsia="iconfont" w:cs="iconfont"/>
      <w:sz w:val="21"/>
      <w:szCs w:val="21"/>
    </w:rPr>
  </w:style>
  <w:style w:type="character" w:customStyle="1" w:styleId="25">
    <w:name w:val="after11"/>
    <w:basedOn w:val="8"/>
    <w:qFormat/>
    <w:uiPriority w:val="0"/>
    <w:rPr>
      <w:rFonts w:hint="default" w:ascii="iconfont" w:hAnsi="iconfont" w:eastAsia="iconfont" w:cs="iconfont"/>
    </w:rPr>
  </w:style>
  <w:style w:type="character" w:customStyle="1" w:styleId="26">
    <w:name w:val="before26"/>
    <w:basedOn w:val="8"/>
    <w:qFormat/>
    <w:uiPriority w:val="0"/>
    <w:rPr>
      <w:rFonts w:hint="default" w:ascii="iconfont" w:hAnsi="iconfont" w:eastAsia="iconfont" w:cs="iconfont"/>
      <w:sz w:val="90"/>
      <w:szCs w:val="90"/>
    </w:rPr>
  </w:style>
  <w:style w:type="character" w:customStyle="1" w:styleId="27">
    <w:name w:val="no"/>
    <w:basedOn w:val="8"/>
    <w:qFormat/>
    <w:uiPriority w:val="0"/>
  </w:style>
  <w:style w:type="character" w:customStyle="1" w:styleId="28">
    <w:name w:val="页眉 Char"/>
    <w:basedOn w:val="8"/>
    <w:link w:val="4"/>
    <w:uiPriority w:val="0"/>
    <w:rPr>
      <w:rFonts w:asciiTheme="minorHAnsi" w:hAnsiTheme="minorHAnsi" w:eastAsiaTheme="minorEastAsia" w:cstheme="minorBidi"/>
      <w:kern w:val="2"/>
      <w:sz w:val="18"/>
      <w:szCs w:val="18"/>
    </w:rPr>
  </w:style>
  <w:style w:type="character" w:customStyle="1" w:styleId="29">
    <w:name w:val="页脚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767</Words>
  <Characters>4376</Characters>
  <Lines>36</Lines>
  <Paragraphs>10</Paragraphs>
  <TotalTime>15</TotalTime>
  <ScaleCrop>false</ScaleCrop>
  <LinksUpToDate>false</LinksUpToDate>
  <CharactersWithSpaces>5133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2019-11-11T06:58:00Z</dcterms:created>
  <dc:creator>Administrator</dc:creator>
  <cp:lastModifiedBy>Administrator</cp:lastModifiedBy>
  <cp:lastPrinted>2019-11-13T07:46:00Z</cp:lastPrinted>
  <dcterms:modified xsi:type="dcterms:W3CDTF">2019-11-26T07:38:18Z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