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ind w:left="-850" w:leftChars="-405"/>
        <w:jc w:val="left"/>
        <w:rPr>
          <w:rFonts w:ascii="黑体" w:hAnsi="黑体" w:eastAsia="黑体" w:cs="Segoe UI"/>
          <w:b/>
          <w:color w:val="333333"/>
          <w:kern w:val="0"/>
          <w:sz w:val="28"/>
          <w:szCs w:val="28"/>
        </w:rPr>
      </w:pPr>
      <w:r>
        <w:rPr>
          <w:rFonts w:hint="eastAsia" w:ascii="黑体" w:hAnsi="黑体" w:eastAsia="黑体" w:cs="Segoe UI"/>
          <w:b/>
          <w:bCs/>
          <w:color w:val="333333"/>
          <w:kern w:val="0"/>
          <w:sz w:val="28"/>
          <w:szCs w:val="28"/>
        </w:rPr>
        <w:t>附件1：技术要求</w:t>
      </w:r>
    </w:p>
    <w:tbl>
      <w:tblPr>
        <w:tblStyle w:val="6"/>
        <w:tblW w:w="10065" w:type="dxa"/>
        <w:tblInd w:w="-74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63"/>
        <w:gridCol w:w="2478"/>
        <w:gridCol w:w="1305"/>
        <w:gridCol w:w="54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6" w:hRule="atLeast"/>
        </w:trPr>
        <w:tc>
          <w:tcPr>
            <w:tcW w:w="875" w:type="dxa"/>
            <w:vAlign w:val="center"/>
          </w:tcPr>
          <w:p>
            <w:pPr>
              <w:autoSpaceDE w:val="0"/>
              <w:autoSpaceDN w:val="0"/>
              <w:jc w:val="center"/>
              <w:rPr>
                <w:rFonts w:ascii="微软雅黑" w:hAnsi="微软雅黑" w:eastAsia="微软雅黑"/>
                <w:sz w:val="24"/>
                <w:szCs w:val="24"/>
              </w:rPr>
            </w:pPr>
            <w:r>
              <w:rPr>
                <w:rFonts w:hint="eastAsia" w:ascii="宋体" w:hAnsi="宋体"/>
                <w:b/>
                <w:sz w:val="18"/>
                <w:szCs w:val="18"/>
              </w:rPr>
              <w:t>序号</w:t>
            </w:r>
          </w:p>
        </w:tc>
        <w:tc>
          <w:tcPr>
            <w:tcW w:w="2524" w:type="dxa"/>
            <w:vAlign w:val="center"/>
          </w:tcPr>
          <w:p>
            <w:pPr>
              <w:autoSpaceDE w:val="0"/>
              <w:autoSpaceDN w:val="0"/>
              <w:jc w:val="center"/>
              <w:rPr>
                <w:rFonts w:ascii="微软雅黑" w:hAnsi="微软雅黑" w:eastAsia="微软雅黑"/>
                <w:sz w:val="24"/>
                <w:szCs w:val="24"/>
              </w:rPr>
            </w:pPr>
            <w:r>
              <w:rPr>
                <w:rFonts w:ascii="宋体" w:hAnsi="宋体"/>
                <w:b/>
                <w:sz w:val="18"/>
                <w:szCs w:val="18"/>
              </w:rPr>
              <w:t>产品名称</w:t>
            </w:r>
          </w:p>
        </w:tc>
        <w:tc>
          <w:tcPr>
            <w:tcW w:w="1347" w:type="dxa"/>
            <w:vAlign w:val="center"/>
          </w:tcPr>
          <w:p>
            <w:pPr>
              <w:autoSpaceDE w:val="0"/>
              <w:autoSpaceDN w:val="0"/>
              <w:jc w:val="center"/>
              <w:rPr>
                <w:rFonts w:hint="default" w:ascii="宋体" w:hAnsi="宋体" w:eastAsiaTheme="minorEastAsia"/>
                <w:b/>
                <w:sz w:val="18"/>
                <w:szCs w:val="18"/>
                <w:lang w:val="en-US" w:eastAsia="zh-CN"/>
              </w:rPr>
            </w:pPr>
            <w:r>
              <w:rPr>
                <w:rFonts w:hint="eastAsia" w:ascii="宋体" w:hAnsi="宋体"/>
                <w:b/>
                <w:sz w:val="18"/>
                <w:szCs w:val="18"/>
                <w:lang w:val="en-US" w:eastAsia="zh-CN"/>
              </w:rPr>
              <w:t>年度预估用量</w:t>
            </w:r>
          </w:p>
        </w:tc>
        <w:tc>
          <w:tcPr>
            <w:tcW w:w="5319" w:type="dxa"/>
            <w:vAlign w:val="center"/>
          </w:tcPr>
          <w:p>
            <w:pPr>
              <w:autoSpaceDE w:val="0"/>
              <w:autoSpaceDN w:val="0"/>
              <w:jc w:val="center"/>
              <w:rPr>
                <w:rFonts w:ascii="微软雅黑" w:hAnsi="微软雅黑" w:eastAsia="微软雅黑"/>
                <w:sz w:val="24"/>
                <w:szCs w:val="24"/>
              </w:rPr>
            </w:pPr>
            <w:r>
              <w:rPr>
                <w:rFonts w:ascii="宋体" w:hAnsi="宋体"/>
                <w:b/>
                <w:sz w:val="18"/>
                <w:szCs w:val="18"/>
              </w:rPr>
              <w:t>技术参数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69" w:hRule="atLeast"/>
        </w:trPr>
        <w:tc>
          <w:tcPr>
            <w:tcW w:w="875" w:type="dxa"/>
            <w:vAlign w:val="center"/>
          </w:tcPr>
          <w:p>
            <w:pPr>
              <w:autoSpaceDE w:val="0"/>
              <w:autoSpaceDN w:val="0"/>
              <w:jc w:val="center"/>
              <w:rPr>
                <w:rFonts w:ascii="微软雅黑" w:hAnsi="微软雅黑" w:eastAsia="微软雅黑"/>
                <w:sz w:val="24"/>
                <w:szCs w:val="24"/>
              </w:rPr>
            </w:pPr>
            <w:r>
              <w:rPr>
                <w:rFonts w:hint="eastAsia" w:ascii="宋体" w:hAnsi="宋体"/>
                <w:sz w:val="18"/>
                <w:szCs w:val="18"/>
                <w:lang w:val="en-US" w:eastAsia="zh-CN"/>
              </w:rPr>
              <w:t xml:space="preserve">  </w:t>
            </w:r>
            <w:r>
              <w:rPr>
                <w:rFonts w:hint="eastAsia" w:ascii="宋体" w:hAnsi="宋体"/>
                <w:sz w:val="18"/>
                <w:szCs w:val="18"/>
              </w:rPr>
              <w:t>1</w:t>
            </w:r>
          </w:p>
        </w:tc>
        <w:tc>
          <w:tcPr>
            <w:tcW w:w="2524" w:type="dxa"/>
            <w:vAlign w:val="center"/>
          </w:tcPr>
          <w:p>
            <w:pPr>
              <w:widowControl/>
              <w:jc w:val="center"/>
              <w:textAlignment w:val="center"/>
              <w:rPr>
                <w:rFonts w:ascii="微软雅黑" w:hAnsi="微软雅黑" w:eastAsia="微软雅黑"/>
                <w:sz w:val="24"/>
                <w:szCs w:val="24"/>
              </w:rPr>
            </w:pPr>
            <w:r>
              <w:rPr>
                <w:rFonts w:hint="eastAsia" w:ascii="宋体" w:hAnsi="宋体" w:cs="宋体"/>
                <w:color w:val="000000"/>
                <w:sz w:val="18"/>
                <w:szCs w:val="18"/>
                <w:lang w:val="en-US" w:eastAsia="zh-CN"/>
              </w:rPr>
              <w:t>核酸提取或纯化试剂</w:t>
            </w:r>
          </w:p>
        </w:tc>
        <w:tc>
          <w:tcPr>
            <w:tcW w:w="1347" w:type="dxa"/>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5319" w:type="dxa"/>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用途：采用可以特异性结合DNA的离心吸附柱和独特的缓冲液系统，提取血液、羊水中的基因组DNA。 </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1.适配：Applied Biosystems 3500Dx 系列基因分析仪；</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2.操作方式：手工提取；</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3.性能：可吸附DNA，去除杂质蛋白及细胞中其他有机化合物，可直接用于PCR、酶切、杂交等分子生物学实验；</w:t>
            </w:r>
          </w:p>
          <w:p>
            <w:pPr>
              <w:widowControl/>
              <w:jc w:val="left"/>
              <w:textAlignment w:val="center"/>
              <w:rPr>
                <w:rFonts w:ascii="微软雅黑" w:hAnsi="微软雅黑" w:eastAsia="微软雅黑"/>
                <w:sz w:val="24"/>
                <w:szCs w:val="24"/>
              </w:rPr>
            </w:pPr>
            <w:r>
              <w:rPr>
                <w:rFonts w:hint="eastAsia" w:ascii="宋体" w:hAnsi="宋体" w:eastAsia="宋体" w:cs="宋体"/>
                <w:color w:val="000000"/>
                <w:sz w:val="18"/>
                <w:szCs w:val="18"/>
                <w:lang w:val="en-US" w:eastAsia="zh-CN"/>
              </w:rPr>
              <w:t xml:space="preserve">4.产品有效期：≥12个月 ；  </w:t>
            </w:r>
            <w:r>
              <w:rPr>
                <w:rFonts w:hint="eastAsia" w:ascii="宋体" w:hAnsi="宋体" w:eastAsia="宋体" w:cs="宋体"/>
                <w:sz w:val="21"/>
                <w:szCs w:val="21"/>
                <w:lang w:val="en-US" w:eastAsia="zh-CN"/>
              </w:rPr>
              <w:t xml:space="preserve">  </w:t>
            </w:r>
            <w:r>
              <w:rPr>
                <w:rFonts w:hint="eastAsia" w:ascii="宋体" w:hAnsi="宋体" w:eastAsia="宋体" w:cs="宋体"/>
                <w:sz w:val="18"/>
                <w:szCs w:val="18"/>
                <w:lang w:val="en-US" w:eastAsia="zh-CN"/>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5" w:hRule="atLeast"/>
        </w:trPr>
        <w:tc>
          <w:tcPr>
            <w:tcW w:w="875" w:type="dxa"/>
            <w:vAlign w:val="center"/>
          </w:tcPr>
          <w:p>
            <w:pPr>
              <w:ind w:firstLine="180" w:firstLineChars="100"/>
              <w:jc w:val="center"/>
              <w:rPr>
                <w:rFonts w:hint="eastAsia" w:ascii="宋体" w:hAnsi="宋体" w:eastAsia="宋体" w:cstheme="minorBidi"/>
                <w:kern w:val="2"/>
                <w:sz w:val="18"/>
                <w:szCs w:val="18"/>
                <w:lang w:val="en-US" w:eastAsia="zh-CN" w:bidi="ar-SA"/>
              </w:rPr>
            </w:pPr>
            <w:r>
              <w:rPr>
                <w:rFonts w:hint="eastAsia" w:ascii="宋体" w:hAnsi="宋体"/>
                <w:sz w:val="18"/>
                <w:szCs w:val="18"/>
                <w:lang w:val="en-US" w:eastAsia="zh-CN"/>
              </w:rPr>
              <w:t>2</w:t>
            </w:r>
          </w:p>
        </w:tc>
        <w:tc>
          <w:tcPr>
            <w:tcW w:w="2524" w:type="dxa"/>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荧光内标染料Gene Scan-600 LIZ Size Standard V2.0-DX</w:t>
            </w:r>
          </w:p>
        </w:tc>
        <w:tc>
          <w:tcPr>
            <w:tcW w:w="1347" w:type="dxa"/>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5319" w:type="dxa"/>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用途：用于提供多种单链标记片段，对片段分析数据进行可重现大小分析；</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1.适配：毛细血管基因分析仪（品牌:美国ABI，型号：3500DX)；</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2.性能：带有LIZ荧光标记，使电泳法测DNA片段大小具高运行精密度；  </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3.产品有效期： ≥18个月；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5" w:hRule="atLeast"/>
        </w:trPr>
        <w:tc>
          <w:tcPr>
            <w:tcW w:w="875" w:type="dxa"/>
            <w:vAlign w:val="center"/>
          </w:tcPr>
          <w:p>
            <w:pPr>
              <w:ind w:firstLine="180" w:firstLineChars="100"/>
              <w:jc w:val="center"/>
              <w:rPr>
                <w:rFonts w:hint="eastAsia" w:ascii="宋体" w:hAnsi="宋体" w:eastAsia="宋体" w:cstheme="minorBidi"/>
                <w:kern w:val="2"/>
                <w:sz w:val="18"/>
                <w:szCs w:val="18"/>
                <w:lang w:val="en-US" w:eastAsia="zh-CN" w:bidi="ar-SA"/>
              </w:rPr>
            </w:pPr>
            <w:r>
              <w:rPr>
                <w:rFonts w:hint="eastAsia" w:ascii="宋体" w:hAnsi="宋体"/>
                <w:sz w:val="18"/>
                <w:szCs w:val="18"/>
                <w:lang w:val="en-US" w:eastAsia="zh-CN"/>
              </w:rPr>
              <w:t>3</w:t>
            </w:r>
          </w:p>
        </w:tc>
        <w:tc>
          <w:tcPr>
            <w:tcW w:w="2524" w:type="dxa"/>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甲酰胺进样溶剂 Hi-Di Formaide</w:t>
            </w:r>
          </w:p>
        </w:tc>
        <w:tc>
          <w:tcPr>
            <w:tcW w:w="1347" w:type="dxa"/>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5319" w:type="dxa"/>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用途：用于检测样本时的进样溶剂； </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1.适配：毛细血管基因分析仪（品牌:美国ABI，型号：3500DX)；</w:t>
            </w:r>
          </w:p>
          <w:p>
            <w:pPr>
              <w:widowControl/>
              <w:jc w:val="left"/>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2.性能：促进样本上机进样检测稳定性；</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 xml:space="preserve">3.产品有效期：≥12个月；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5" w:hRule="atLeast"/>
        </w:trPr>
        <w:tc>
          <w:tcPr>
            <w:tcW w:w="875" w:type="dxa"/>
            <w:vAlign w:val="center"/>
          </w:tcPr>
          <w:p>
            <w:pPr>
              <w:ind w:firstLine="180" w:firstLineChars="100"/>
              <w:jc w:val="center"/>
              <w:rPr>
                <w:rFonts w:hint="eastAsia" w:ascii="宋体" w:hAnsi="宋体" w:eastAsiaTheme="minorEastAsia" w:cstheme="minorBidi"/>
                <w:kern w:val="2"/>
                <w:sz w:val="18"/>
                <w:szCs w:val="18"/>
                <w:lang w:val="en-US" w:eastAsia="zh-CN" w:bidi="ar-SA"/>
              </w:rPr>
            </w:pPr>
            <w:r>
              <w:rPr>
                <w:rFonts w:hint="eastAsia" w:ascii="宋体" w:hAnsi="宋体"/>
                <w:sz w:val="18"/>
                <w:szCs w:val="18"/>
                <w:lang w:val="en-US" w:eastAsia="zh-CN"/>
              </w:rPr>
              <w:t>4</w:t>
            </w:r>
          </w:p>
        </w:tc>
        <w:tc>
          <w:tcPr>
            <w:tcW w:w="2524" w:type="dxa"/>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阳极缓冲液槽anode buffer container</w:t>
            </w:r>
          </w:p>
        </w:tc>
        <w:tc>
          <w:tcPr>
            <w:tcW w:w="1347" w:type="dxa"/>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5319" w:type="dxa"/>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用途：与基因分析仪配合使用，为电泳时提供缓冲环境； </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1.适配：毛细血管基因分析仪（品牌:美国ABI，型号：3500DX)；</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2.要求：试剂盒带有无线射频识别（RFID）标签，能与适配仪器无缝对接，上机即可使用；</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3.产品有效期： ≥9个月；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5" w:hRule="atLeast"/>
        </w:trPr>
        <w:tc>
          <w:tcPr>
            <w:tcW w:w="875" w:type="dxa"/>
            <w:vAlign w:val="center"/>
          </w:tcPr>
          <w:p>
            <w:pPr>
              <w:ind w:firstLine="180" w:firstLineChars="100"/>
              <w:jc w:val="center"/>
              <w:rPr>
                <w:rFonts w:hint="eastAsia" w:ascii="宋体" w:hAnsi="宋体" w:eastAsiaTheme="minorEastAsia" w:cstheme="minorBidi"/>
                <w:kern w:val="2"/>
                <w:sz w:val="18"/>
                <w:szCs w:val="18"/>
                <w:lang w:val="en-US" w:eastAsia="zh-CN" w:bidi="ar-SA"/>
              </w:rPr>
            </w:pPr>
            <w:r>
              <w:rPr>
                <w:rFonts w:hint="eastAsia" w:ascii="宋体" w:hAnsi="宋体"/>
                <w:sz w:val="18"/>
                <w:szCs w:val="18"/>
                <w:lang w:val="en-US" w:eastAsia="zh-CN"/>
              </w:rPr>
              <w:t>5</w:t>
            </w:r>
          </w:p>
        </w:tc>
        <w:tc>
          <w:tcPr>
            <w:tcW w:w="2524" w:type="dxa"/>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阴极缓冲液槽Cathode Buffer Container</w:t>
            </w:r>
          </w:p>
        </w:tc>
        <w:tc>
          <w:tcPr>
            <w:tcW w:w="1347" w:type="dxa"/>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5319" w:type="dxa"/>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用途：与基因分析仪配合使用，为电泳时提供缓冲环境； </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1.适配：毛细血管基因分析仪（品牌:美国ABI，型号：3500DX)；</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2.要求：试剂盒带有无线射频识别（RFID）标签，能与适配仪器无缝对接，上机即可使用；</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3.产品有效期： ≥9个月；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5" w:hRule="atLeast"/>
        </w:trPr>
        <w:tc>
          <w:tcPr>
            <w:tcW w:w="875" w:type="dxa"/>
            <w:vAlign w:val="center"/>
          </w:tcPr>
          <w:p>
            <w:pPr>
              <w:ind w:firstLine="180" w:firstLineChars="100"/>
              <w:jc w:val="center"/>
              <w:rPr>
                <w:rFonts w:hint="eastAsia" w:ascii="宋体" w:hAnsi="宋体" w:eastAsiaTheme="minorEastAsia" w:cstheme="minorBidi"/>
                <w:kern w:val="2"/>
                <w:sz w:val="18"/>
                <w:szCs w:val="18"/>
                <w:lang w:val="en-US" w:eastAsia="zh-CN" w:bidi="ar-SA"/>
              </w:rPr>
            </w:pPr>
            <w:r>
              <w:rPr>
                <w:rFonts w:hint="eastAsia" w:ascii="宋体" w:hAnsi="宋体"/>
                <w:sz w:val="18"/>
                <w:szCs w:val="18"/>
                <w:lang w:val="en-US" w:eastAsia="zh-CN"/>
              </w:rPr>
              <w:t>6</w:t>
            </w:r>
          </w:p>
        </w:tc>
        <w:tc>
          <w:tcPr>
            <w:tcW w:w="2524" w:type="dxa"/>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高分子分离胶POP-7 Polymer</w:t>
            </w:r>
          </w:p>
        </w:tc>
        <w:tc>
          <w:tcPr>
            <w:tcW w:w="1347" w:type="dxa"/>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5319" w:type="dxa"/>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用途： 分离已知大小范围的 DNA 片段；</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1.适配：毛细血管基因分析仪（品牌:美国ABI，型号：3500DX)；</w:t>
            </w:r>
          </w:p>
          <w:p>
            <w:pPr>
              <w:widowControl/>
              <w:jc w:val="left"/>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2.性能： 分离DNA片段；</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3.产品有效期：≥9个月；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5" w:hRule="atLeast"/>
        </w:trPr>
        <w:tc>
          <w:tcPr>
            <w:tcW w:w="875" w:type="dxa"/>
            <w:vAlign w:val="center"/>
          </w:tcPr>
          <w:p>
            <w:pPr>
              <w:ind w:firstLine="180" w:firstLineChars="100"/>
              <w:jc w:val="center"/>
              <w:rPr>
                <w:rFonts w:hint="eastAsia" w:ascii="宋体" w:hAnsi="宋体" w:eastAsiaTheme="minorEastAsia" w:cstheme="minorBidi"/>
                <w:kern w:val="2"/>
                <w:sz w:val="18"/>
                <w:szCs w:val="18"/>
                <w:lang w:val="en-US" w:eastAsia="zh-CN" w:bidi="ar-SA"/>
              </w:rPr>
            </w:pPr>
            <w:r>
              <w:rPr>
                <w:rFonts w:hint="eastAsia" w:ascii="宋体" w:hAnsi="宋体"/>
                <w:sz w:val="18"/>
                <w:szCs w:val="18"/>
                <w:lang w:val="en-US" w:eastAsia="zh-CN"/>
              </w:rPr>
              <w:t>7</w:t>
            </w:r>
          </w:p>
        </w:tc>
        <w:tc>
          <w:tcPr>
            <w:tcW w:w="2524" w:type="dxa"/>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MicroAmp Optical 96- Well Reaction Plate with Barcode(96 孔板)</w:t>
            </w:r>
          </w:p>
        </w:tc>
        <w:tc>
          <w:tcPr>
            <w:tcW w:w="1347" w:type="dxa"/>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5319" w:type="dxa"/>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用途：适用于实时荧光定量PCR实验； </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1.适配：毛细血管基因分析仪（品牌:美国ABI，型号：3500DX)；</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2.性能：隔绝周围空气，为快速无油PCR扩增确保温度精确性和均一性；</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3.产品有效期： 永久；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5" w:hRule="atLeast"/>
        </w:trPr>
        <w:tc>
          <w:tcPr>
            <w:tcW w:w="875" w:type="dxa"/>
            <w:vAlign w:val="center"/>
          </w:tcPr>
          <w:p>
            <w:pPr>
              <w:ind w:firstLine="180" w:firstLineChars="100"/>
              <w:jc w:val="center"/>
              <w:rPr>
                <w:rFonts w:hint="eastAsia" w:ascii="宋体" w:hAnsi="宋体" w:eastAsiaTheme="minorEastAsia" w:cstheme="minorBidi"/>
                <w:kern w:val="2"/>
                <w:sz w:val="18"/>
                <w:szCs w:val="18"/>
                <w:lang w:val="en-US" w:eastAsia="zh-CN" w:bidi="ar-SA"/>
              </w:rPr>
            </w:pPr>
            <w:r>
              <w:rPr>
                <w:rFonts w:hint="eastAsia" w:ascii="宋体" w:hAnsi="宋体"/>
                <w:sz w:val="18"/>
                <w:szCs w:val="18"/>
                <w:lang w:val="en-US" w:eastAsia="zh-CN"/>
              </w:rPr>
              <w:t>8</w:t>
            </w:r>
          </w:p>
        </w:tc>
        <w:tc>
          <w:tcPr>
            <w:tcW w:w="2524" w:type="dxa"/>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MicroAmp Optical Adhesive Film PCR Compatible(PCR 板封口膜)</w:t>
            </w:r>
          </w:p>
        </w:tc>
        <w:tc>
          <w:tcPr>
            <w:tcW w:w="1347" w:type="dxa"/>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5319" w:type="dxa"/>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用途：PCR反应时，密封96孔板，保证孔内样本不被蒸发及不被外环境污染；</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1.适配：适用于MicroAmp Optical 96- Well Reaction Plate with Barcode 96孔板；</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2.性能：避免PCR实验中孔间污染和样品蒸发；</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3.产品有效期： 永久；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5" w:hRule="atLeast"/>
        </w:trPr>
        <w:tc>
          <w:tcPr>
            <w:tcW w:w="0" w:type="auto"/>
            <w:vAlign w:val="center"/>
          </w:tcPr>
          <w:p>
            <w:pPr>
              <w:ind w:firstLine="180" w:firstLineChars="100"/>
              <w:jc w:val="center"/>
              <w:rPr>
                <w:rFonts w:hint="eastAsia" w:ascii="宋体" w:hAnsi="宋体" w:eastAsiaTheme="minorEastAsia" w:cstheme="minorBidi"/>
                <w:kern w:val="2"/>
                <w:sz w:val="18"/>
                <w:szCs w:val="18"/>
                <w:lang w:val="en-US" w:eastAsia="zh-CN" w:bidi="ar-SA"/>
              </w:rPr>
            </w:pPr>
            <w:r>
              <w:rPr>
                <w:rFonts w:hint="eastAsia" w:ascii="宋体" w:hAnsi="宋体"/>
                <w:sz w:val="18"/>
                <w:szCs w:val="18"/>
                <w:lang w:val="en-US" w:eastAsia="zh-CN"/>
              </w:rPr>
              <w:t>9</w:t>
            </w:r>
          </w:p>
        </w:tc>
        <w:tc>
          <w:tcPr>
            <w:tcW w:w="2524" w:type="dxa"/>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96-well Septa for 3500 Dx/3500xL,(96 孔样品板硅胶垫)</w:t>
            </w:r>
          </w:p>
        </w:tc>
        <w:tc>
          <w:tcPr>
            <w:tcW w:w="1347" w:type="dxa"/>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p>
        </w:tc>
        <w:tc>
          <w:tcPr>
            <w:tcW w:w="0" w:type="auto"/>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用途： 对96孔板进行隔垫和固定；</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1.适配：毛细血管基因分析仪（品牌:美国ABI，型号：3500DX)；</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2.性能：隔垫和板基座固定；</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3.产品有效期： 永久；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5" w:hRule="atLeast"/>
        </w:trPr>
        <w:tc>
          <w:tcPr>
            <w:tcW w:w="0" w:type="auto"/>
            <w:vAlign w:val="center"/>
          </w:tcPr>
          <w:p>
            <w:pPr>
              <w:ind w:firstLine="180" w:firstLineChars="100"/>
              <w:jc w:val="center"/>
              <w:rPr>
                <w:rFonts w:hint="eastAsia" w:ascii="宋体" w:hAnsi="宋体" w:eastAsiaTheme="minorEastAsia" w:cstheme="minorBidi"/>
                <w:kern w:val="2"/>
                <w:sz w:val="18"/>
                <w:szCs w:val="18"/>
                <w:lang w:val="en-US" w:eastAsia="zh-CN" w:bidi="ar-SA"/>
              </w:rPr>
            </w:pPr>
            <w:r>
              <w:rPr>
                <w:rFonts w:hint="eastAsia" w:ascii="宋体" w:hAnsi="宋体"/>
                <w:sz w:val="18"/>
                <w:szCs w:val="18"/>
                <w:lang w:val="en-US" w:eastAsia="zh-CN"/>
              </w:rPr>
              <w:t>10</w:t>
            </w:r>
          </w:p>
        </w:tc>
        <w:tc>
          <w:tcPr>
            <w:tcW w:w="2524" w:type="dxa"/>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Septa Cathode Buffer Container(阴性 缓冲液硅胶垫)</w:t>
            </w:r>
          </w:p>
        </w:tc>
        <w:tc>
          <w:tcPr>
            <w:tcW w:w="1347" w:type="dxa"/>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p>
        </w:tc>
        <w:tc>
          <w:tcPr>
            <w:tcW w:w="0" w:type="auto"/>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用途：隔垫阴极缓冲液槽；</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1.适配：毛细血管基因分析仪（品牌:美国ABI，型号：3500DX)；</w:t>
            </w:r>
          </w:p>
          <w:p>
            <w:pPr>
              <w:widowControl/>
              <w:jc w:val="left"/>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2.性能：隔垫阴性缓冲液容器，保证槽内液体不溢出、蒸发、污染；</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3.产品有效期： 永久；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5" w:hRule="atLeast"/>
        </w:trPr>
        <w:tc>
          <w:tcPr>
            <w:tcW w:w="0" w:type="auto"/>
            <w:vAlign w:val="center"/>
          </w:tcPr>
          <w:p>
            <w:pPr>
              <w:ind w:firstLine="180" w:firstLineChars="100"/>
              <w:jc w:val="center"/>
              <w:rPr>
                <w:rFonts w:hint="eastAsia" w:ascii="宋体" w:hAnsi="宋体" w:eastAsiaTheme="minorEastAsia" w:cstheme="minorBidi"/>
                <w:kern w:val="2"/>
                <w:sz w:val="18"/>
                <w:szCs w:val="18"/>
                <w:lang w:val="en-US" w:eastAsia="zh-CN" w:bidi="ar-SA"/>
              </w:rPr>
            </w:pPr>
            <w:r>
              <w:rPr>
                <w:rFonts w:hint="eastAsia" w:ascii="宋体" w:hAnsi="宋体"/>
                <w:sz w:val="18"/>
                <w:szCs w:val="18"/>
                <w:lang w:val="en-US" w:eastAsia="zh-CN"/>
              </w:rPr>
              <w:t>11</w:t>
            </w:r>
          </w:p>
        </w:tc>
        <w:tc>
          <w:tcPr>
            <w:tcW w:w="2524" w:type="dxa"/>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CONDITONING REAGNT 3500DX SER(泵腔清洗液)</w:t>
            </w:r>
          </w:p>
        </w:tc>
        <w:tc>
          <w:tcPr>
            <w:tcW w:w="1347" w:type="dxa"/>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w:t>
            </w:r>
          </w:p>
        </w:tc>
        <w:tc>
          <w:tcPr>
            <w:tcW w:w="0" w:type="auto"/>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用途： 用于实验结束后仪器的泵腔及管道冲洗；</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1.适配：毛细血管基因分析仪（品牌:美国ABI，型号：3500DX)；</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2.性能：清洗设备泵腔及管道，维持、延长仪器寿命；</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3.产品有效期：≥12个月；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5" w:hRule="atLeast"/>
        </w:trPr>
        <w:tc>
          <w:tcPr>
            <w:tcW w:w="0" w:type="auto"/>
            <w:vAlign w:val="center"/>
          </w:tcPr>
          <w:p>
            <w:pPr>
              <w:ind w:firstLine="180" w:firstLineChars="100"/>
              <w:jc w:val="center"/>
              <w:rPr>
                <w:rFonts w:hint="eastAsia" w:ascii="宋体" w:hAnsi="宋体" w:eastAsiaTheme="minorEastAsia" w:cstheme="minorBidi"/>
                <w:kern w:val="2"/>
                <w:sz w:val="18"/>
                <w:szCs w:val="18"/>
                <w:lang w:val="en-US" w:eastAsia="zh-CN" w:bidi="ar-SA"/>
              </w:rPr>
            </w:pPr>
            <w:r>
              <w:rPr>
                <w:rFonts w:hint="eastAsia" w:ascii="宋体" w:hAnsi="宋体"/>
                <w:sz w:val="18"/>
                <w:szCs w:val="18"/>
                <w:lang w:val="en-US" w:eastAsia="zh-CN"/>
              </w:rPr>
              <w:t>12</w:t>
            </w:r>
          </w:p>
        </w:tc>
        <w:tc>
          <w:tcPr>
            <w:tcW w:w="2524" w:type="dxa"/>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50CM 毛细管 (3500DX)8 通道</w:t>
            </w:r>
          </w:p>
        </w:tc>
        <w:tc>
          <w:tcPr>
            <w:tcW w:w="1347" w:type="dxa"/>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p>
        </w:tc>
        <w:tc>
          <w:tcPr>
            <w:tcW w:w="0" w:type="auto"/>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用途： 蛋白质量分析、片段分析、测序；</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1.适配：毛细血管基因分析仪（品牌:美国ABI，型号：3500DX)；</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2.性能：用于多个样本的片段分析，确保检测结果均一稳定性；</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3.产品有效期： 永久；</w:t>
            </w:r>
          </w:p>
        </w:tc>
      </w:tr>
    </w:tbl>
    <w:p>
      <w:pPr>
        <w:widowControl/>
        <w:shd w:val="clear" w:color="auto" w:fill="FFFFFF"/>
        <w:wordWrap w:val="0"/>
        <w:spacing w:line="360" w:lineRule="auto"/>
        <w:jc w:val="left"/>
        <w:rPr>
          <w:rFonts w:cs="Segoe UI" w:asciiTheme="minorEastAsia" w:hAnsiTheme="minorEastAsia"/>
          <w:b/>
          <w:bCs/>
          <w:color w:val="333333"/>
          <w:kern w:val="0"/>
          <w:sz w:val="24"/>
          <w:szCs w:val="24"/>
        </w:rPr>
      </w:pP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黑体" w:hAnsi="黑体" w:eastAsia="黑体" w:cs="Segoe UI"/>
          <w:b/>
          <w:bCs/>
          <w:color w:val="333333"/>
          <w:kern w:val="0"/>
          <w:sz w:val="28"/>
          <w:szCs w:val="28"/>
        </w:rPr>
        <w:t>附件2：采购文件书装订顺序</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spacing w:val="8"/>
          <w:kern w:val="0"/>
          <w:sz w:val="24"/>
          <w:szCs w:val="24"/>
        </w:rPr>
        <w:t>1、封面（公司、项目、联系人、联系方式）。</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spacing w:val="8"/>
          <w:kern w:val="0"/>
          <w:sz w:val="24"/>
          <w:szCs w:val="24"/>
        </w:rPr>
        <w:t>2、目录。</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spacing w:val="8"/>
          <w:kern w:val="0"/>
          <w:sz w:val="24"/>
          <w:szCs w:val="24"/>
        </w:rPr>
        <w:t>3、品目及报价表（格式见附件）。</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spacing w:val="8"/>
          <w:kern w:val="0"/>
          <w:sz w:val="24"/>
          <w:szCs w:val="24"/>
        </w:rPr>
        <w:t>4、规格型号、配置及偏离表（格式见附件）。</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spacing w:val="8"/>
          <w:kern w:val="0"/>
          <w:sz w:val="24"/>
          <w:szCs w:val="24"/>
        </w:rPr>
        <w:t>5、企业营业执照（复印件）。</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6、法定代表人授权书（原件），法定代表人、经办人身份证（复印件）。</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7、生产厂家授权书（投标人不是生产厂家的）。</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8、如是医疗器械，须提供“中华人民共和国医疗器械生产企业许可证”和“中华人民共和国医疗器械经营企业许可证”（复印件）。</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9、如是医疗器械，须提供“医疗器械产品注册证和注册登记表”（复印件）。</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10、如有产品质量和企业管理体系认证（考核），请提供的有效证明文件的复印或扫描件，质量管理体系认证包括FDA、CE、ISO等认证（提供中文翻译复印件）。</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11、质量检测中心或法定机构出具的产品检测报告，性能自测报告，出厂检验报告的复印或扫描件。</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12、如有其他证书：产品在技术、节能、安全、环保和自主创新方面获得的认证证书或制造厂家和产品所获国家级荣誉称号等复印或扫描件。</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13、产品执行标准（提供产品注册标准：YZB等资料供评审）。</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14、产品质量及货源保证书。</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spacing w:val="8"/>
          <w:kern w:val="0"/>
          <w:sz w:val="24"/>
          <w:szCs w:val="24"/>
        </w:rPr>
        <w:t>15、售后</w:t>
      </w:r>
      <w:r>
        <w:rPr>
          <w:rFonts w:hint="eastAsia" w:ascii="微软雅黑" w:hAnsi="微软雅黑" w:eastAsia="微软雅黑" w:cs="Segoe UI"/>
          <w:color w:val="333333"/>
          <w:kern w:val="0"/>
          <w:sz w:val="24"/>
          <w:szCs w:val="24"/>
        </w:rPr>
        <w:t>服务承诺书，包括质量保证范围，售后服务体系、人员培训计划等，并提供相关人员证明材料，要求见评分办法“售后服务”说明。</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spacing w:val="8"/>
          <w:kern w:val="0"/>
          <w:sz w:val="24"/>
          <w:szCs w:val="24"/>
        </w:rPr>
        <w:t>16、如有，提供进口原材料证明书或产品报关资料等。</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spacing w:val="8"/>
          <w:kern w:val="0"/>
          <w:sz w:val="24"/>
          <w:szCs w:val="24"/>
        </w:rPr>
        <w:t>17、产品说明书或</w:t>
      </w:r>
      <w:r>
        <w:rPr>
          <w:rFonts w:hint="eastAsia" w:ascii="微软雅黑" w:hAnsi="微软雅黑" w:eastAsia="微软雅黑" w:cs="Segoe UI"/>
          <w:color w:val="333333"/>
          <w:kern w:val="0"/>
          <w:sz w:val="24"/>
          <w:szCs w:val="24"/>
        </w:rPr>
        <w:t>与投标医疗耗材型号一致的产品彩页资料和其他有关介绍资料。</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18、业绩证明文件（用户名单及联系人与联系方式，格式见附件），并提供相应证明文件，要求见评分办法“业绩”说明。</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spacing w:val="8"/>
          <w:kern w:val="0"/>
          <w:sz w:val="24"/>
          <w:szCs w:val="24"/>
        </w:rPr>
        <w:t>19、能满足采购人需求的配送证明文件。</w:t>
      </w:r>
      <w:r>
        <w:rPr>
          <w:rFonts w:hint="eastAsia" w:ascii="微软雅黑" w:hAnsi="微软雅黑" w:eastAsia="微软雅黑" w:cs="Segoe UI"/>
          <w:color w:val="333333"/>
          <w:kern w:val="0"/>
          <w:sz w:val="24"/>
          <w:szCs w:val="24"/>
        </w:rPr>
        <w:t>如有物流公司配送，请提供配送证明材料：配送商基本情况、配送商营业执照复印件、配送商经营许可证复印件。</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20、</w:t>
      </w:r>
      <w:r>
        <w:rPr>
          <w:rFonts w:hint="eastAsia" w:ascii="微软雅黑" w:hAnsi="微软雅黑" w:eastAsia="微软雅黑" w:cs="Segoe UI"/>
          <w:color w:val="333333"/>
          <w:spacing w:val="8"/>
          <w:kern w:val="0"/>
          <w:sz w:val="24"/>
          <w:szCs w:val="24"/>
        </w:rPr>
        <w:t>封底。</w:t>
      </w:r>
    </w:p>
    <w:p>
      <w:pPr>
        <w:widowControl/>
        <w:shd w:val="clear" w:color="auto" w:fill="FFFFFF"/>
        <w:wordWrap w:val="0"/>
        <w:spacing w:line="400" w:lineRule="atLeast"/>
        <w:ind w:left="-850" w:leftChars="-405" w:right="-420" w:rightChars="-200"/>
        <w:jc w:val="left"/>
        <w:rPr>
          <w:rFonts w:ascii="微软雅黑" w:hAnsi="微软雅黑" w:eastAsia="微软雅黑" w:cs="Segoe UI"/>
          <w:color w:val="333333"/>
          <w:kern w:val="0"/>
          <w:sz w:val="18"/>
          <w:szCs w:val="18"/>
        </w:rPr>
      </w:pPr>
      <w:r>
        <w:rPr>
          <w:rFonts w:hint="eastAsia" w:ascii="微软雅黑" w:hAnsi="微软雅黑" w:eastAsia="微软雅黑" w:cs="Segoe UI"/>
          <w:b/>
          <w:bCs/>
          <w:color w:val="333333"/>
          <w:kern w:val="0"/>
          <w:sz w:val="24"/>
          <w:szCs w:val="24"/>
        </w:rPr>
        <w:t>注：请务必按以上顺序装订资料，如有非中文资料，请同时提供中文翻译件。</w:t>
      </w:r>
    </w:p>
    <w:p>
      <w:pPr>
        <w:widowControl/>
        <w:shd w:val="clear" w:color="auto" w:fill="FFFFFF"/>
        <w:wordWrap w:val="0"/>
        <w:ind w:left="-420" w:leftChars="-200" w:right="-420" w:rightChars="-200"/>
        <w:jc w:val="left"/>
        <w:rPr>
          <w:rFonts w:ascii="微软雅黑" w:hAnsi="微软雅黑" w:eastAsia="微软雅黑" w:cs="Segoe UI"/>
          <w:b/>
          <w:bCs/>
          <w:color w:val="333333"/>
          <w:kern w:val="0"/>
          <w:sz w:val="24"/>
          <w:szCs w:val="24"/>
        </w:rPr>
      </w:pPr>
    </w:p>
    <w:p>
      <w:pPr>
        <w:widowControl/>
        <w:jc w:val="left"/>
        <w:rPr>
          <w:rFonts w:ascii="微软雅黑" w:hAnsi="微软雅黑" w:eastAsia="微软雅黑" w:cs="Segoe UI"/>
          <w:b/>
          <w:bCs/>
          <w:color w:val="333333"/>
          <w:kern w:val="0"/>
          <w:sz w:val="28"/>
          <w:szCs w:val="28"/>
        </w:rPr>
      </w:pPr>
      <w:r>
        <w:rPr>
          <w:rFonts w:ascii="微软雅黑" w:hAnsi="微软雅黑" w:eastAsia="微软雅黑" w:cs="Segoe UI"/>
          <w:b/>
          <w:bCs/>
          <w:color w:val="333333"/>
          <w:kern w:val="0"/>
          <w:sz w:val="28"/>
          <w:szCs w:val="28"/>
        </w:rPr>
        <w:br w:type="page"/>
      </w:r>
    </w:p>
    <w:p>
      <w:pPr>
        <w:widowControl/>
        <w:shd w:val="clear" w:color="auto" w:fill="FFFFFF"/>
        <w:wordWrap w:val="0"/>
        <w:ind w:left="-850" w:leftChars="-405" w:right="-420" w:rightChars="-200"/>
        <w:jc w:val="left"/>
        <w:rPr>
          <w:rFonts w:ascii="微软雅黑" w:hAnsi="微软雅黑" w:eastAsia="微软雅黑" w:cs="Segoe UI"/>
          <w:color w:val="333333"/>
          <w:kern w:val="0"/>
          <w:sz w:val="28"/>
          <w:szCs w:val="28"/>
        </w:rPr>
      </w:pPr>
      <w:r>
        <w:rPr>
          <w:rFonts w:hint="eastAsia" w:ascii="微软雅黑" w:hAnsi="微软雅黑" w:eastAsia="微软雅黑" w:cs="Segoe UI"/>
          <w:b/>
          <w:bCs/>
          <w:color w:val="333333"/>
          <w:kern w:val="0"/>
          <w:sz w:val="28"/>
          <w:szCs w:val="28"/>
        </w:rPr>
        <w:t>附件3：主要表格格式</w:t>
      </w:r>
    </w:p>
    <w:p>
      <w:pPr>
        <w:widowControl/>
        <w:shd w:val="clear" w:color="auto" w:fill="FFFFFF"/>
        <w:wordWrap w:val="0"/>
        <w:ind w:left="-850" w:leftChars="-405" w:right="-420" w:rightChars="-200"/>
        <w:jc w:val="left"/>
        <w:rPr>
          <w:rFonts w:ascii="微软雅黑" w:hAnsi="微软雅黑" w:eastAsia="微软雅黑" w:cs="Segoe UI"/>
          <w:color w:val="333333"/>
          <w:kern w:val="0"/>
          <w:sz w:val="28"/>
          <w:szCs w:val="28"/>
        </w:rPr>
      </w:pPr>
      <w:r>
        <w:rPr>
          <w:rFonts w:hint="eastAsia" w:ascii="微软雅黑" w:hAnsi="微软雅黑" w:eastAsia="微软雅黑" w:cs="Segoe UI"/>
          <w:color w:val="333333"/>
          <w:kern w:val="0"/>
          <w:sz w:val="28"/>
          <w:szCs w:val="28"/>
        </w:rPr>
        <w:t> </w:t>
      </w:r>
      <w:r>
        <w:rPr>
          <w:rFonts w:hint="eastAsia" w:ascii="微软雅黑" w:hAnsi="微软雅黑" w:eastAsia="微软雅黑" w:cs="Segoe UI"/>
          <w:bCs/>
          <w:color w:val="333333"/>
          <w:kern w:val="0"/>
          <w:sz w:val="28"/>
          <w:szCs w:val="28"/>
        </w:rPr>
        <w:t>附件3-1：</w:t>
      </w:r>
    </w:p>
    <w:p>
      <w:pPr>
        <w:widowControl/>
        <w:shd w:val="clear" w:color="auto" w:fill="FFFFFF"/>
        <w:wordWrap w:val="0"/>
        <w:spacing w:line="270" w:lineRule="atLeast"/>
        <w:jc w:val="center"/>
        <w:rPr>
          <w:rFonts w:ascii="微软雅黑" w:hAnsi="微软雅黑" w:eastAsia="微软雅黑" w:cs="Segoe UI"/>
          <w:color w:val="333333"/>
          <w:kern w:val="0"/>
          <w:sz w:val="28"/>
          <w:szCs w:val="28"/>
        </w:rPr>
      </w:pPr>
      <w:r>
        <w:rPr>
          <w:rFonts w:hint="eastAsia" w:ascii="微软雅黑" w:hAnsi="微软雅黑" w:eastAsia="微软雅黑" w:cs="Segoe UI"/>
          <w:bCs/>
          <w:color w:val="333333"/>
          <w:kern w:val="0"/>
          <w:sz w:val="28"/>
          <w:szCs w:val="28"/>
        </w:rPr>
        <w:t>偏离表</w:t>
      </w:r>
    </w:p>
    <w:tbl>
      <w:tblPr>
        <w:tblStyle w:val="5"/>
        <w:tblW w:w="0" w:type="auto"/>
        <w:jc w:val="center"/>
        <w:tblLayout w:type="autofit"/>
        <w:tblCellMar>
          <w:top w:w="0" w:type="dxa"/>
          <w:left w:w="0" w:type="dxa"/>
          <w:bottom w:w="0" w:type="dxa"/>
          <w:right w:w="0" w:type="dxa"/>
        </w:tblCellMar>
      </w:tblPr>
      <w:tblGrid>
        <w:gridCol w:w="1055"/>
        <w:gridCol w:w="2299"/>
        <w:gridCol w:w="2299"/>
        <w:gridCol w:w="2869"/>
      </w:tblGrid>
      <w:tr>
        <w:tblPrEx>
          <w:tblCellMar>
            <w:top w:w="0" w:type="dxa"/>
            <w:left w:w="0" w:type="dxa"/>
            <w:bottom w:w="0" w:type="dxa"/>
            <w:right w:w="0" w:type="dxa"/>
          </w:tblCellMar>
        </w:tblPrEx>
        <w:trPr>
          <w:trHeight w:val="600" w:hRule="atLeast"/>
          <w:jc w:val="center"/>
        </w:trPr>
        <w:tc>
          <w:tcPr>
            <w:tcW w:w="12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270"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序号</w:t>
            </w:r>
          </w:p>
        </w:tc>
        <w:tc>
          <w:tcPr>
            <w:tcW w:w="27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270"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招标要求</w:t>
            </w:r>
          </w:p>
        </w:tc>
        <w:tc>
          <w:tcPr>
            <w:tcW w:w="27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270"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投标响应</w:t>
            </w:r>
          </w:p>
        </w:tc>
        <w:tc>
          <w:tcPr>
            <w:tcW w:w="35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270"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偏离及其影响</w:t>
            </w:r>
          </w:p>
        </w:tc>
      </w:tr>
      <w:tr>
        <w:tblPrEx>
          <w:tblCellMar>
            <w:top w:w="0" w:type="dxa"/>
            <w:left w:w="0" w:type="dxa"/>
            <w:bottom w:w="0" w:type="dxa"/>
            <w:right w:w="0" w:type="dxa"/>
          </w:tblCellMar>
        </w:tblPrEx>
        <w:trPr>
          <w:trHeight w:val="465" w:hRule="atLeast"/>
          <w:jc w:val="center"/>
        </w:trPr>
        <w:tc>
          <w:tcPr>
            <w:tcW w:w="121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spacing w:line="270"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2790"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270"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2790"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270"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3510"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270"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r>
      <w:tr>
        <w:tblPrEx>
          <w:tblCellMar>
            <w:top w:w="0" w:type="dxa"/>
            <w:left w:w="0" w:type="dxa"/>
            <w:bottom w:w="0" w:type="dxa"/>
            <w:right w:w="0" w:type="dxa"/>
          </w:tblCellMar>
        </w:tblPrEx>
        <w:trPr>
          <w:trHeight w:val="450" w:hRule="atLeast"/>
          <w:jc w:val="center"/>
        </w:trPr>
        <w:tc>
          <w:tcPr>
            <w:tcW w:w="121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spacing w:line="270"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2790"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270"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2790"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270"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3510"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270"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r>
    </w:tbl>
    <w:p>
      <w:pPr>
        <w:widowControl/>
        <w:shd w:val="clear" w:color="auto" w:fill="FFFFFF"/>
        <w:wordWrap w:val="0"/>
        <w:spacing w:line="270" w:lineRule="atLeast"/>
        <w:jc w:val="left"/>
        <w:rPr>
          <w:rFonts w:ascii="微软雅黑" w:hAnsi="微软雅黑" w:eastAsia="微软雅黑" w:cs="Segoe UI"/>
          <w:color w:val="333333"/>
          <w:kern w:val="0"/>
          <w:sz w:val="22"/>
        </w:rPr>
      </w:pPr>
      <w:r>
        <w:rPr>
          <w:rFonts w:hint="eastAsia" w:ascii="微软雅黑" w:hAnsi="微软雅黑" w:eastAsia="微软雅黑" w:cs="Segoe UI"/>
          <w:color w:val="333333"/>
          <w:kern w:val="0"/>
          <w:sz w:val="22"/>
        </w:rPr>
        <w:t>注：</w:t>
      </w:r>
    </w:p>
    <w:p>
      <w:pPr>
        <w:widowControl/>
        <w:shd w:val="clear" w:color="auto" w:fill="FFFFFF"/>
        <w:wordWrap w:val="0"/>
        <w:spacing w:line="270" w:lineRule="atLeast"/>
        <w:jc w:val="left"/>
        <w:rPr>
          <w:rFonts w:ascii="微软雅黑" w:hAnsi="微软雅黑" w:eastAsia="微软雅黑" w:cs="Segoe UI"/>
          <w:color w:val="333333"/>
          <w:kern w:val="0"/>
          <w:sz w:val="22"/>
        </w:rPr>
      </w:pPr>
      <w:r>
        <w:rPr>
          <w:rFonts w:hint="eastAsia" w:ascii="微软雅黑" w:hAnsi="微软雅黑" w:eastAsia="微软雅黑" w:cs="Segoe UI"/>
          <w:color w:val="333333"/>
          <w:kern w:val="0"/>
          <w:sz w:val="22"/>
        </w:rPr>
        <w:t>1、此表要求投标文件与招标文件要求一一对应、逐一列出；</w:t>
      </w:r>
    </w:p>
    <w:p>
      <w:pPr>
        <w:widowControl/>
        <w:shd w:val="clear" w:color="auto" w:fill="FFFFFF"/>
        <w:wordWrap w:val="0"/>
        <w:spacing w:line="270" w:lineRule="atLeast"/>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2"/>
        </w:rPr>
        <w:t>2、投标文件中与招标文件要求有负偏离的内容必须在此表中列出，否则视为无效投标。供应商必须据实填写，不得虚假响应，否则投标无效并按规定追究其相关责任。</w:t>
      </w:r>
    </w:p>
    <w:p>
      <w:pPr>
        <w:widowControl/>
        <w:shd w:val="clear" w:color="auto" w:fill="FFFFFF"/>
        <w:wordWrap w:val="0"/>
        <w:spacing w:line="270" w:lineRule="atLeast"/>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2"/>
        </w:rPr>
        <w:t>法定代表人或授权代表签字：</w:t>
      </w:r>
    </w:p>
    <w:p>
      <w:pPr>
        <w:widowControl/>
        <w:shd w:val="clear" w:color="auto" w:fill="FFFFFF"/>
        <w:wordWrap w:val="0"/>
        <w:spacing w:line="270" w:lineRule="atLeast"/>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2"/>
        </w:rPr>
        <w:t>日期:</w:t>
      </w:r>
    </w:p>
    <w:p>
      <w:pPr>
        <w:widowControl/>
        <w:shd w:val="clear" w:color="auto" w:fill="FFFFFF"/>
        <w:wordWrap w:val="0"/>
        <w:spacing w:line="270" w:lineRule="atLeast"/>
        <w:ind w:left="-850" w:leftChars="-405"/>
        <w:jc w:val="left"/>
        <w:rPr>
          <w:rFonts w:ascii="微软雅黑" w:hAnsi="微软雅黑" w:eastAsia="微软雅黑" w:cs="Segoe UI"/>
          <w:color w:val="333333"/>
          <w:kern w:val="0"/>
          <w:sz w:val="28"/>
          <w:szCs w:val="28"/>
        </w:rPr>
      </w:pPr>
      <w:r>
        <w:rPr>
          <w:rFonts w:hint="eastAsia" w:ascii="微软雅黑" w:hAnsi="微软雅黑" w:eastAsia="微软雅黑" w:cs="Segoe UI"/>
          <w:bCs/>
          <w:color w:val="333333"/>
          <w:kern w:val="0"/>
          <w:sz w:val="28"/>
          <w:szCs w:val="28"/>
        </w:rPr>
        <w:t>附件3-2：</w:t>
      </w:r>
    </w:p>
    <w:p>
      <w:pPr>
        <w:widowControl/>
        <w:shd w:val="clear" w:color="auto" w:fill="FFFFFF"/>
        <w:jc w:val="center"/>
        <w:rPr>
          <w:rFonts w:ascii="微软雅黑" w:hAnsi="微软雅黑" w:eastAsia="微软雅黑" w:cs="Segoe UI"/>
          <w:color w:val="333333"/>
          <w:kern w:val="0"/>
          <w:sz w:val="28"/>
          <w:szCs w:val="28"/>
        </w:rPr>
      </w:pPr>
      <w:r>
        <w:rPr>
          <w:rFonts w:hint="eastAsia" w:ascii="微软雅黑" w:hAnsi="微软雅黑" w:eastAsia="微软雅黑" w:cs="Segoe UI"/>
          <w:bCs/>
          <w:color w:val="333333"/>
          <w:kern w:val="0"/>
          <w:sz w:val="28"/>
          <w:szCs w:val="28"/>
        </w:rPr>
        <w:t>用户情况表</w:t>
      </w:r>
    </w:p>
    <w:tbl>
      <w:tblPr>
        <w:tblStyle w:val="5"/>
        <w:tblW w:w="0" w:type="auto"/>
        <w:jc w:val="center"/>
        <w:tblLayout w:type="autofit"/>
        <w:tblCellMar>
          <w:top w:w="0" w:type="dxa"/>
          <w:left w:w="0" w:type="dxa"/>
          <w:bottom w:w="0" w:type="dxa"/>
          <w:right w:w="0" w:type="dxa"/>
        </w:tblCellMar>
      </w:tblPr>
      <w:tblGrid>
        <w:gridCol w:w="1755"/>
        <w:gridCol w:w="1860"/>
        <w:gridCol w:w="1260"/>
        <w:gridCol w:w="2160"/>
        <w:gridCol w:w="1080"/>
      </w:tblGrid>
      <w:tr>
        <w:tblPrEx>
          <w:tblCellMar>
            <w:top w:w="0" w:type="dxa"/>
            <w:left w:w="0" w:type="dxa"/>
            <w:bottom w:w="0" w:type="dxa"/>
            <w:right w:w="0" w:type="dxa"/>
          </w:tblCellMar>
        </w:tblPrEx>
        <w:trPr>
          <w:trHeight w:val="420" w:hRule="atLeast"/>
          <w:jc w:val="center"/>
        </w:trPr>
        <w:tc>
          <w:tcPr>
            <w:tcW w:w="1755"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国内三甲医疗机构用户</w:t>
            </w:r>
          </w:p>
        </w:tc>
        <w:tc>
          <w:tcPr>
            <w:tcW w:w="18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用户名称</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合同时间</w:t>
            </w:r>
          </w:p>
        </w:tc>
        <w:tc>
          <w:tcPr>
            <w:tcW w:w="21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联系人及联系方式</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备注</w:t>
            </w:r>
          </w:p>
        </w:tc>
      </w:tr>
      <w:tr>
        <w:tblPrEx>
          <w:tblCellMar>
            <w:top w:w="0" w:type="dxa"/>
            <w:left w:w="0" w:type="dxa"/>
            <w:bottom w:w="0" w:type="dxa"/>
            <w:right w:w="0" w:type="dxa"/>
          </w:tblCellMar>
        </w:tblPrEx>
        <w:trPr>
          <w:trHeight w:val="300" w:hRule="atLeast"/>
          <w:jc w:val="center"/>
        </w:trPr>
        <w:tc>
          <w:tcPr>
            <w:tcW w:w="0" w:type="auto"/>
            <w:vMerge w:val="continue"/>
            <w:tcBorders>
              <w:left w:val="single" w:color="auto" w:sz="8" w:space="0"/>
              <w:right w:val="single" w:color="auto" w:sz="8" w:space="0"/>
            </w:tcBorders>
            <w:vAlign w:val="center"/>
          </w:tcPr>
          <w:p>
            <w:pPr>
              <w:widowControl/>
              <w:jc w:val="left"/>
              <w:rPr>
                <w:rFonts w:ascii="微软雅黑" w:hAnsi="微软雅黑" w:eastAsia="微软雅黑" w:cs="宋体"/>
                <w:kern w:val="0"/>
                <w:sz w:val="18"/>
                <w:szCs w:val="18"/>
              </w:rPr>
            </w:pPr>
          </w:p>
        </w:tc>
        <w:tc>
          <w:tcPr>
            <w:tcW w:w="1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21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r>
      <w:tr>
        <w:tblPrEx>
          <w:tblCellMar>
            <w:top w:w="0" w:type="dxa"/>
            <w:left w:w="0" w:type="dxa"/>
            <w:bottom w:w="0" w:type="dxa"/>
            <w:right w:w="0" w:type="dxa"/>
          </w:tblCellMar>
        </w:tblPrEx>
        <w:trPr>
          <w:trHeight w:val="300" w:hRule="atLeast"/>
          <w:jc w:val="center"/>
        </w:trPr>
        <w:tc>
          <w:tcPr>
            <w:tcW w:w="0" w:type="auto"/>
            <w:vMerge w:val="continue"/>
            <w:tcBorders>
              <w:left w:val="single" w:color="auto" w:sz="8" w:space="0"/>
              <w:right w:val="single" w:color="auto" w:sz="8" w:space="0"/>
            </w:tcBorders>
            <w:vAlign w:val="center"/>
          </w:tcPr>
          <w:p>
            <w:pPr>
              <w:widowControl/>
              <w:jc w:val="left"/>
              <w:rPr>
                <w:rFonts w:ascii="微软雅黑" w:hAnsi="微软雅黑" w:eastAsia="微软雅黑" w:cs="宋体"/>
                <w:kern w:val="0"/>
                <w:sz w:val="18"/>
                <w:szCs w:val="18"/>
              </w:rPr>
            </w:pPr>
          </w:p>
        </w:tc>
        <w:tc>
          <w:tcPr>
            <w:tcW w:w="1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21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r>
      <w:tr>
        <w:tblPrEx>
          <w:tblCellMar>
            <w:top w:w="0" w:type="dxa"/>
            <w:left w:w="0" w:type="dxa"/>
            <w:bottom w:w="0" w:type="dxa"/>
            <w:right w:w="0" w:type="dxa"/>
          </w:tblCellMar>
        </w:tblPrEx>
        <w:trPr>
          <w:trHeight w:val="105" w:hRule="atLeast"/>
          <w:jc w:val="center"/>
        </w:trPr>
        <w:tc>
          <w:tcPr>
            <w:tcW w:w="1755" w:type="dxa"/>
            <w:vMerge w:val="continue"/>
            <w:tcBorders>
              <w:left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微软雅黑" w:hAnsi="微软雅黑" w:eastAsia="微软雅黑" w:cs="宋体"/>
                <w:kern w:val="0"/>
                <w:sz w:val="18"/>
                <w:szCs w:val="18"/>
              </w:rPr>
            </w:pPr>
          </w:p>
        </w:tc>
        <w:tc>
          <w:tcPr>
            <w:tcW w:w="1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21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r>
      <w:tr>
        <w:tblPrEx>
          <w:tblCellMar>
            <w:top w:w="0" w:type="dxa"/>
            <w:left w:w="0" w:type="dxa"/>
            <w:bottom w:w="0" w:type="dxa"/>
            <w:right w:w="0" w:type="dxa"/>
          </w:tblCellMar>
        </w:tblPrEx>
        <w:trPr>
          <w:trHeight w:val="105" w:hRule="atLeast"/>
          <w:jc w:val="center"/>
        </w:trPr>
        <w:tc>
          <w:tcPr>
            <w:tcW w:w="0" w:type="auto"/>
            <w:vMerge w:val="continue"/>
            <w:tcBorders>
              <w:left w:val="single" w:color="auto" w:sz="8" w:space="0"/>
              <w:right w:val="single" w:color="auto" w:sz="8" w:space="0"/>
            </w:tcBorders>
            <w:vAlign w:val="center"/>
          </w:tcPr>
          <w:p>
            <w:pPr>
              <w:widowControl/>
              <w:jc w:val="left"/>
              <w:rPr>
                <w:rFonts w:ascii="微软雅黑" w:hAnsi="微软雅黑" w:eastAsia="微软雅黑" w:cs="宋体"/>
                <w:kern w:val="0"/>
                <w:sz w:val="18"/>
                <w:szCs w:val="18"/>
              </w:rPr>
            </w:pPr>
          </w:p>
        </w:tc>
        <w:tc>
          <w:tcPr>
            <w:tcW w:w="1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21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r>
      <w:tr>
        <w:tblPrEx>
          <w:tblCellMar>
            <w:top w:w="0" w:type="dxa"/>
            <w:left w:w="0" w:type="dxa"/>
            <w:bottom w:w="0" w:type="dxa"/>
            <w:right w:w="0" w:type="dxa"/>
          </w:tblCellMar>
        </w:tblPrEx>
        <w:trPr>
          <w:trHeight w:val="105" w:hRule="atLeast"/>
          <w:jc w:val="center"/>
        </w:trPr>
        <w:tc>
          <w:tcPr>
            <w:tcW w:w="0" w:type="auto"/>
            <w:vMerge w:val="continue"/>
            <w:tcBorders>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kern w:val="0"/>
                <w:sz w:val="18"/>
                <w:szCs w:val="18"/>
              </w:rPr>
            </w:pPr>
          </w:p>
        </w:tc>
        <w:tc>
          <w:tcPr>
            <w:tcW w:w="1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21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微软雅黑" w:hAnsi="微软雅黑" w:eastAsia="微软雅黑" w:cs="宋体"/>
                <w:kern w:val="0"/>
                <w:sz w:val="18"/>
                <w:szCs w:val="18"/>
              </w:rPr>
            </w:pPr>
            <w:r>
              <w:rPr>
                <w:rFonts w:hint="eastAsia" w:ascii="微软雅黑" w:hAnsi="微软雅黑" w:eastAsia="微软雅黑" w:cs="宋体"/>
                <w:kern w:val="0"/>
                <w:sz w:val="24"/>
                <w:szCs w:val="24"/>
              </w:rPr>
              <w:t> </w:t>
            </w:r>
          </w:p>
        </w:tc>
      </w:tr>
    </w:tbl>
    <w:p>
      <w:pPr>
        <w:widowControl/>
        <w:shd w:val="clear" w:color="auto" w:fill="FFFFFF"/>
        <w:wordWrap w:val="0"/>
        <w:spacing w:line="270" w:lineRule="atLeast"/>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法定代表人或授权代表签字：</w:t>
      </w:r>
    </w:p>
    <w:p>
      <w:pPr>
        <w:widowControl/>
        <w:shd w:val="clear" w:color="auto" w:fill="FFFFFF"/>
        <w:wordWrap w:val="0"/>
        <w:spacing w:line="270" w:lineRule="atLeast"/>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日期</w:t>
      </w:r>
      <w:r>
        <w:rPr>
          <w:rFonts w:hint="eastAsia" w:ascii="微软雅黑" w:hAnsi="微软雅黑" w:eastAsia="微软雅黑" w:cs="Segoe UI"/>
          <w:b/>
          <w:bCs/>
          <w:color w:val="333333"/>
          <w:kern w:val="0"/>
          <w:sz w:val="24"/>
          <w:szCs w:val="24"/>
        </w:rPr>
        <w:t>:</w:t>
      </w:r>
      <w:bookmarkStart w:id="0" w:name="_Toc95295163"/>
      <w:bookmarkEnd w:id="0"/>
    </w:p>
    <w:p>
      <w:pPr>
        <w:widowControl/>
        <w:shd w:val="clear" w:color="auto" w:fill="FFFFFF"/>
        <w:wordWrap w:val="0"/>
        <w:spacing w:line="270" w:lineRule="atLeast"/>
        <w:ind w:left="-850" w:leftChars="-405"/>
        <w:jc w:val="left"/>
        <w:rPr>
          <w:rFonts w:ascii="微软雅黑" w:hAnsi="微软雅黑" w:eastAsia="微软雅黑" w:cs="Segoe UI"/>
          <w:color w:val="333333"/>
          <w:kern w:val="0"/>
          <w:sz w:val="28"/>
          <w:szCs w:val="28"/>
        </w:rPr>
      </w:pPr>
      <w:r>
        <w:rPr>
          <w:rFonts w:hint="eastAsia" w:ascii="微软雅黑" w:hAnsi="微软雅黑" w:eastAsia="微软雅黑" w:cs="Segoe UI"/>
          <w:bCs/>
          <w:color w:val="333333"/>
          <w:kern w:val="0"/>
          <w:sz w:val="28"/>
          <w:szCs w:val="28"/>
        </w:rPr>
        <w:t>附件3-3：</w:t>
      </w:r>
    </w:p>
    <w:p>
      <w:pPr>
        <w:widowControl/>
        <w:shd w:val="clear" w:color="auto" w:fill="FFFFFF"/>
        <w:wordWrap w:val="0"/>
        <w:jc w:val="center"/>
        <w:rPr>
          <w:rFonts w:ascii="微软雅黑" w:hAnsi="微软雅黑" w:eastAsia="微软雅黑" w:cs="Segoe UI"/>
          <w:color w:val="333333"/>
          <w:kern w:val="0"/>
          <w:sz w:val="28"/>
          <w:szCs w:val="28"/>
        </w:rPr>
      </w:pPr>
      <w:r>
        <w:rPr>
          <w:rFonts w:hint="eastAsia" w:ascii="微软雅黑" w:hAnsi="微软雅黑" w:eastAsia="微软雅黑" w:cs="Segoe UI"/>
          <w:color w:val="333333"/>
          <w:kern w:val="0"/>
          <w:sz w:val="28"/>
          <w:szCs w:val="28"/>
        </w:rPr>
        <w:t>品目及报价表</w:t>
      </w:r>
    </w:p>
    <w:tbl>
      <w:tblPr>
        <w:tblStyle w:val="5"/>
        <w:tblW w:w="10342" w:type="dxa"/>
        <w:tblInd w:w="-1026" w:type="dxa"/>
        <w:shd w:val="clear" w:color="auto" w:fill="FFFFFF"/>
        <w:tblLayout w:type="autofit"/>
        <w:tblCellMar>
          <w:top w:w="0" w:type="dxa"/>
          <w:left w:w="0" w:type="dxa"/>
          <w:bottom w:w="0" w:type="dxa"/>
          <w:right w:w="0" w:type="dxa"/>
        </w:tblCellMar>
      </w:tblPr>
      <w:tblGrid>
        <w:gridCol w:w="686"/>
        <w:gridCol w:w="1603"/>
        <w:gridCol w:w="1498"/>
        <w:gridCol w:w="891"/>
        <w:gridCol w:w="846"/>
        <w:gridCol w:w="993"/>
        <w:gridCol w:w="1050"/>
        <w:gridCol w:w="1590"/>
        <w:gridCol w:w="1185"/>
      </w:tblGrid>
      <w:tr>
        <w:tblPrEx>
          <w:shd w:val="clear" w:color="auto" w:fill="FFFFFF"/>
          <w:tblCellMar>
            <w:top w:w="0" w:type="dxa"/>
            <w:left w:w="0" w:type="dxa"/>
            <w:bottom w:w="0" w:type="dxa"/>
            <w:right w:w="0" w:type="dxa"/>
          </w:tblCellMar>
        </w:tblPrEx>
        <w:trPr>
          <w:trHeight w:val="735" w:hRule="atLeast"/>
        </w:trPr>
        <w:tc>
          <w:tcPr>
            <w:tcW w:w="68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18"/>
                <w:szCs w:val="18"/>
              </w:rPr>
              <w:t>序号</w:t>
            </w:r>
          </w:p>
        </w:tc>
        <w:tc>
          <w:tcPr>
            <w:tcW w:w="160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产品名称</w:t>
            </w:r>
          </w:p>
          <w:p>
            <w:pPr>
              <w:widowControl/>
              <w:wordWrap w:val="0"/>
              <w:jc w:val="center"/>
              <w:rPr>
                <w:rFonts w:ascii="微软雅黑" w:hAnsi="微软雅黑" w:eastAsia="微软雅黑" w:cs="Segoe UI"/>
                <w:color w:val="333333"/>
                <w:kern w:val="0"/>
                <w:sz w:val="18"/>
                <w:szCs w:val="18"/>
              </w:rPr>
            </w:pPr>
            <w:r>
              <w:rPr>
                <w:rFonts w:hint="eastAsia" w:ascii="微软雅黑" w:hAnsi="微软雅黑" w:eastAsia="微软雅黑" w:cs="宋体"/>
                <w:color w:val="000000"/>
                <w:kern w:val="0"/>
                <w:sz w:val="18"/>
                <w:szCs w:val="18"/>
              </w:rPr>
              <w:t>(注册证名称)</w:t>
            </w:r>
          </w:p>
        </w:tc>
        <w:tc>
          <w:tcPr>
            <w:tcW w:w="149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微软雅黑" w:hAnsi="微软雅黑" w:eastAsia="微软雅黑" w:cs="Segoe UI"/>
                <w:color w:val="333333"/>
                <w:kern w:val="0"/>
                <w:sz w:val="18"/>
                <w:szCs w:val="18"/>
              </w:rPr>
            </w:pPr>
            <w:r>
              <w:rPr>
                <w:rFonts w:hint="eastAsia" w:ascii="微软雅黑" w:hAnsi="微软雅黑" w:eastAsia="微软雅黑" w:cs="宋体"/>
                <w:color w:val="000000"/>
                <w:kern w:val="0"/>
                <w:sz w:val="18"/>
                <w:szCs w:val="18"/>
              </w:rPr>
              <w:t>生产厂家名称</w:t>
            </w:r>
          </w:p>
        </w:tc>
        <w:tc>
          <w:tcPr>
            <w:tcW w:w="89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微软雅黑" w:hAnsi="微软雅黑" w:eastAsia="微软雅黑" w:cs="宋体"/>
                <w:kern w:val="0"/>
                <w:sz w:val="18"/>
                <w:szCs w:val="18"/>
              </w:rPr>
            </w:pPr>
            <w:r>
              <w:rPr>
                <w:rFonts w:hint="eastAsia" w:ascii="微软雅黑" w:hAnsi="微软雅黑" w:eastAsia="微软雅黑" w:cs="宋体"/>
                <w:color w:val="000000"/>
                <w:kern w:val="0"/>
                <w:sz w:val="18"/>
                <w:szCs w:val="18"/>
              </w:rPr>
              <w:t>规格</w:t>
            </w:r>
          </w:p>
          <w:p>
            <w:pPr>
              <w:widowControl/>
              <w:spacing w:line="400" w:lineRule="atLeast"/>
              <w:jc w:val="center"/>
              <w:rPr>
                <w:rFonts w:ascii="微软雅黑" w:hAnsi="微软雅黑" w:eastAsia="微软雅黑" w:cs="宋体"/>
                <w:kern w:val="0"/>
                <w:sz w:val="18"/>
                <w:szCs w:val="18"/>
              </w:rPr>
            </w:pPr>
            <w:r>
              <w:rPr>
                <w:rFonts w:hint="eastAsia" w:ascii="微软雅黑" w:hAnsi="微软雅黑" w:eastAsia="微软雅黑" w:cs="宋体"/>
                <w:color w:val="000000"/>
                <w:kern w:val="0"/>
                <w:sz w:val="18"/>
                <w:szCs w:val="18"/>
              </w:rPr>
              <w:t>型号</w:t>
            </w:r>
          </w:p>
        </w:tc>
        <w:tc>
          <w:tcPr>
            <w:tcW w:w="84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微软雅黑" w:hAnsi="微软雅黑" w:eastAsia="微软雅黑" w:cs="宋体"/>
                <w:kern w:val="0"/>
                <w:sz w:val="18"/>
                <w:szCs w:val="18"/>
              </w:rPr>
            </w:pPr>
            <w:r>
              <w:rPr>
                <w:rFonts w:hint="eastAsia" w:ascii="微软雅黑" w:hAnsi="微软雅黑" w:eastAsia="微软雅黑" w:cs="宋体"/>
                <w:color w:val="000000"/>
                <w:kern w:val="0"/>
                <w:sz w:val="18"/>
                <w:szCs w:val="18"/>
              </w:rPr>
              <w:t>单位</w:t>
            </w:r>
          </w:p>
        </w:tc>
        <w:tc>
          <w:tcPr>
            <w:tcW w:w="99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微软雅黑" w:hAnsi="微软雅黑" w:eastAsia="微软雅黑" w:cs="宋体"/>
                <w:kern w:val="0"/>
                <w:sz w:val="18"/>
                <w:szCs w:val="18"/>
              </w:rPr>
            </w:pPr>
            <w:r>
              <w:rPr>
                <w:rFonts w:hint="eastAsia" w:ascii="微软雅黑" w:hAnsi="微软雅黑" w:eastAsia="微软雅黑" w:cs="宋体"/>
                <w:color w:val="000000"/>
                <w:kern w:val="0"/>
                <w:sz w:val="18"/>
                <w:szCs w:val="18"/>
              </w:rPr>
              <w:t>报价（元）</w:t>
            </w:r>
          </w:p>
        </w:tc>
        <w:tc>
          <w:tcPr>
            <w:tcW w:w="105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hint="eastAsia" w:ascii="微软雅黑" w:hAnsi="微软雅黑" w:eastAsia="微软雅黑" w:cs="宋体"/>
                <w:kern w:val="0"/>
                <w:sz w:val="18"/>
                <w:szCs w:val="18"/>
                <w:lang w:val="en-US" w:eastAsia="zh-CN"/>
              </w:rPr>
            </w:pPr>
            <w:r>
              <w:rPr>
                <w:rFonts w:hint="eastAsia" w:ascii="微软雅黑" w:hAnsi="微软雅黑" w:eastAsia="微软雅黑" w:cs="宋体"/>
                <w:kern w:val="0"/>
                <w:sz w:val="18"/>
                <w:szCs w:val="18"/>
                <w:lang w:val="en-US" w:eastAsia="zh-CN"/>
              </w:rPr>
              <w:t>预估用量</w:t>
            </w:r>
          </w:p>
        </w:tc>
        <w:tc>
          <w:tcPr>
            <w:tcW w:w="159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hint="eastAsia" w:ascii="微软雅黑" w:hAnsi="微软雅黑" w:eastAsia="微软雅黑" w:cs="宋体"/>
                <w:kern w:val="0"/>
                <w:sz w:val="18"/>
                <w:szCs w:val="18"/>
                <w:lang w:eastAsia="zh-CN"/>
              </w:rPr>
            </w:pPr>
            <w:r>
              <w:rPr>
                <w:rFonts w:hint="eastAsia" w:ascii="微软雅黑" w:hAnsi="微软雅黑" w:eastAsia="微软雅黑" w:cs="宋体"/>
                <w:color w:val="000000"/>
                <w:kern w:val="0"/>
                <w:sz w:val="18"/>
                <w:szCs w:val="18"/>
              </w:rPr>
              <w:t>医疗器械注册证/备案凭证编号</w:t>
            </w:r>
          </w:p>
        </w:tc>
        <w:tc>
          <w:tcPr>
            <w:tcW w:w="118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en-US" w:eastAsia="zh-CN"/>
              </w:rPr>
              <w:t>备注</w:t>
            </w:r>
          </w:p>
        </w:tc>
      </w:tr>
      <w:tr>
        <w:tblPrEx>
          <w:shd w:val="clear" w:color="auto" w:fill="FFFFFF"/>
          <w:tblCellMar>
            <w:top w:w="0" w:type="dxa"/>
            <w:left w:w="0" w:type="dxa"/>
            <w:bottom w:w="0" w:type="dxa"/>
            <w:right w:w="0" w:type="dxa"/>
          </w:tblCellMar>
        </w:tblPrEx>
        <w:trPr>
          <w:trHeight w:val="330" w:hRule="atLeast"/>
        </w:trPr>
        <w:tc>
          <w:tcPr>
            <w:tcW w:w="68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Segoe UI" w:hAnsi="Segoe UI" w:eastAsia="宋体" w:cs="Segoe UI"/>
                <w:color w:val="333333"/>
                <w:kern w:val="0"/>
                <w:sz w:val="18"/>
                <w:szCs w:val="18"/>
              </w:rPr>
            </w:pPr>
          </w:p>
        </w:tc>
        <w:tc>
          <w:tcPr>
            <w:tcW w:w="16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Segoe UI" w:hAnsi="Segoe UI" w:eastAsia="宋体" w:cs="Segoe UI"/>
                <w:color w:val="333333"/>
                <w:kern w:val="0"/>
                <w:sz w:val="18"/>
                <w:szCs w:val="18"/>
              </w:rPr>
            </w:pPr>
          </w:p>
        </w:tc>
        <w:tc>
          <w:tcPr>
            <w:tcW w:w="14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Segoe UI" w:hAnsi="Segoe UI" w:eastAsia="宋体" w:cs="Segoe UI"/>
                <w:color w:val="333333"/>
                <w:kern w:val="0"/>
                <w:sz w:val="18"/>
                <w:szCs w:val="18"/>
              </w:rPr>
            </w:pPr>
          </w:p>
        </w:tc>
        <w:tc>
          <w:tcPr>
            <w:tcW w:w="8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Segoe UI" w:hAnsi="Segoe UI" w:eastAsia="宋体" w:cs="Segoe UI"/>
                <w:color w:val="333333"/>
                <w:kern w:val="0"/>
                <w:sz w:val="18"/>
                <w:szCs w:val="18"/>
              </w:rPr>
            </w:pPr>
          </w:p>
        </w:tc>
        <w:tc>
          <w:tcPr>
            <w:tcW w:w="8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Segoe UI" w:hAnsi="Segoe UI" w:eastAsia="宋体" w:cs="Segoe UI"/>
                <w:color w:val="333333"/>
                <w:kern w:val="0"/>
                <w:sz w:val="18"/>
                <w:szCs w:val="18"/>
              </w:rPr>
            </w:pP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Segoe UI" w:hAnsi="Segoe UI" w:eastAsia="宋体" w:cs="Segoe UI"/>
                <w:color w:val="333333"/>
                <w:kern w:val="0"/>
                <w:sz w:val="18"/>
                <w:szCs w:val="18"/>
              </w:rPr>
            </w:pP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Segoe UI" w:hAnsi="Segoe UI" w:eastAsia="宋体" w:cs="Segoe UI"/>
                <w:color w:val="333333"/>
                <w:kern w:val="0"/>
                <w:sz w:val="18"/>
                <w:szCs w:val="18"/>
              </w:rPr>
            </w:pPr>
          </w:p>
        </w:tc>
        <w:tc>
          <w:tcPr>
            <w:tcW w:w="1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Segoe UI" w:hAnsi="Segoe UI" w:eastAsia="宋体" w:cs="Segoe UI"/>
                <w:color w:val="333333"/>
                <w:kern w:val="0"/>
                <w:sz w:val="18"/>
                <w:szCs w:val="18"/>
              </w:rPr>
            </w:pPr>
          </w:p>
        </w:tc>
        <w:tc>
          <w:tcPr>
            <w:tcW w:w="11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Segoe UI" w:hAnsi="Segoe UI" w:eastAsia="宋体" w:cs="Segoe UI"/>
                <w:color w:val="333333"/>
                <w:kern w:val="0"/>
                <w:sz w:val="18"/>
                <w:szCs w:val="18"/>
              </w:rPr>
            </w:pPr>
          </w:p>
        </w:tc>
      </w:tr>
      <w:tr>
        <w:tblPrEx>
          <w:shd w:val="clear" w:color="auto" w:fill="FFFFFF"/>
          <w:tblCellMar>
            <w:top w:w="0" w:type="dxa"/>
            <w:left w:w="0" w:type="dxa"/>
            <w:bottom w:w="0" w:type="dxa"/>
            <w:right w:w="0" w:type="dxa"/>
          </w:tblCellMar>
        </w:tblPrEx>
        <w:trPr>
          <w:trHeight w:val="390" w:hRule="atLeast"/>
        </w:trPr>
        <w:tc>
          <w:tcPr>
            <w:tcW w:w="686" w:type="dxa"/>
            <w:tcBorders>
              <w:top w:val="nil"/>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Segoe UI" w:hAnsi="Segoe UI" w:eastAsia="宋体" w:cs="Segoe UI"/>
                <w:color w:val="333333"/>
                <w:kern w:val="0"/>
                <w:sz w:val="18"/>
                <w:szCs w:val="18"/>
              </w:rPr>
            </w:pPr>
          </w:p>
        </w:tc>
        <w:tc>
          <w:tcPr>
            <w:tcW w:w="1603" w:type="dxa"/>
            <w:tcBorders>
              <w:top w:val="nil"/>
              <w:left w:val="nil"/>
              <w:bottom w:val="single" w:color="auto" w:sz="4"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Segoe UI" w:hAnsi="Segoe UI" w:eastAsia="宋体" w:cs="Segoe UI"/>
                <w:color w:val="333333"/>
                <w:kern w:val="0"/>
                <w:sz w:val="18"/>
                <w:szCs w:val="18"/>
              </w:rPr>
            </w:pPr>
          </w:p>
        </w:tc>
        <w:tc>
          <w:tcPr>
            <w:tcW w:w="1498" w:type="dxa"/>
            <w:tcBorders>
              <w:top w:val="nil"/>
              <w:left w:val="nil"/>
              <w:bottom w:val="single" w:color="auto" w:sz="4"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Segoe UI" w:hAnsi="Segoe UI" w:eastAsia="宋体" w:cs="Segoe UI"/>
                <w:color w:val="333333"/>
                <w:kern w:val="0"/>
                <w:sz w:val="18"/>
                <w:szCs w:val="18"/>
              </w:rPr>
            </w:pPr>
          </w:p>
        </w:tc>
        <w:tc>
          <w:tcPr>
            <w:tcW w:w="891" w:type="dxa"/>
            <w:tcBorders>
              <w:top w:val="nil"/>
              <w:left w:val="nil"/>
              <w:bottom w:val="single" w:color="auto" w:sz="4"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Segoe UI" w:hAnsi="Segoe UI" w:eastAsia="宋体" w:cs="Segoe UI"/>
                <w:color w:val="333333"/>
                <w:kern w:val="0"/>
                <w:sz w:val="18"/>
                <w:szCs w:val="18"/>
              </w:rPr>
            </w:pPr>
          </w:p>
        </w:tc>
        <w:tc>
          <w:tcPr>
            <w:tcW w:w="846" w:type="dxa"/>
            <w:tcBorders>
              <w:top w:val="nil"/>
              <w:left w:val="nil"/>
              <w:bottom w:val="single" w:color="auto" w:sz="4"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Segoe UI" w:hAnsi="Segoe UI" w:eastAsia="宋体" w:cs="Segoe UI"/>
                <w:color w:val="333333"/>
                <w:kern w:val="0"/>
                <w:sz w:val="18"/>
                <w:szCs w:val="18"/>
              </w:rPr>
            </w:pPr>
          </w:p>
        </w:tc>
        <w:tc>
          <w:tcPr>
            <w:tcW w:w="993" w:type="dxa"/>
            <w:tcBorders>
              <w:top w:val="nil"/>
              <w:left w:val="nil"/>
              <w:bottom w:val="single" w:color="auto" w:sz="4"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Segoe UI" w:hAnsi="Segoe UI" w:eastAsia="宋体" w:cs="Segoe UI"/>
                <w:color w:val="333333"/>
                <w:kern w:val="0"/>
                <w:sz w:val="18"/>
                <w:szCs w:val="18"/>
              </w:rPr>
            </w:pPr>
          </w:p>
        </w:tc>
        <w:tc>
          <w:tcPr>
            <w:tcW w:w="1050" w:type="dxa"/>
            <w:tcBorders>
              <w:top w:val="nil"/>
              <w:left w:val="nil"/>
              <w:bottom w:val="single" w:color="auto" w:sz="4"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Segoe UI" w:hAnsi="Segoe UI" w:eastAsia="宋体" w:cs="Segoe UI"/>
                <w:color w:val="333333"/>
                <w:kern w:val="0"/>
                <w:sz w:val="18"/>
                <w:szCs w:val="18"/>
              </w:rPr>
            </w:pPr>
          </w:p>
        </w:tc>
        <w:tc>
          <w:tcPr>
            <w:tcW w:w="1590" w:type="dxa"/>
            <w:tcBorders>
              <w:top w:val="nil"/>
              <w:left w:val="nil"/>
              <w:bottom w:val="single" w:color="auto" w:sz="4"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Segoe UI" w:hAnsi="Segoe UI" w:eastAsia="宋体" w:cs="Segoe UI"/>
                <w:color w:val="333333"/>
                <w:kern w:val="0"/>
                <w:sz w:val="18"/>
                <w:szCs w:val="18"/>
              </w:rPr>
            </w:pPr>
          </w:p>
        </w:tc>
        <w:tc>
          <w:tcPr>
            <w:tcW w:w="1185" w:type="dxa"/>
            <w:tcBorders>
              <w:top w:val="nil"/>
              <w:left w:val="nil"/>
              <w:bottom w:val="single" w:color="auto" w:sz="4"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Segoe UI" w:hAnsi="Segoe UI" w:eastAsia="宋体" w:cs="Segoe UI"/>
                <w:color w:val="333333"/>
                <w:kern w:val="0"/>
                <w:sz w:val="18"/>
                <w:szCs w:val="18"/>
              </w:rPr>
            </w:pPr>
          </w:p>
        </w:tc>
      </w:tr>
      <w:tr>
        <w:tblPrEx>
          <w:shd w:val="clear" w:color="auto" w:fill="FFFFFF"/>
          <w:tblCellMar>
            <w:top w:w="0" w:type="dxa"/>
            <w:left w:w="0" w:type="dxa"/>
            <w:bottom w:w="0" w:type="dxa"/>
            <w:right w:w="0" w:type="dxa"/>
          </w:tblCellMar>
        </w:tblPrEx>
        <w:trPr>
          <w:trHeight w:val="390" w:hRule="atLeast"/>
        </w:trPr>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wordWrap w:val="0"/>
              <w:jc w:val="center"/>
              <w:rPr>
                <w:rFonts w:ascii="宋体" w:hAnsi="宋体" w:eastAsia="宋体" w:cs="Segoe UI"/>
                <w:color w:val="333333"/>
                <w:kern w:val="0"/>
                <w:sz w:val="24"/>
                <w:szCs w:val="24"/>
              </w:rPr>
            </w:pPr>
          </w:p>
        </w:tc>
        <w:tc>
          <w:tcPr>
            <w:tcW w:w="160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wordWrap w:val="0"/>
              <w:jc w:val="center"/>
              <w:rPr>
                <w:rFonts w:ascii="宋体" w:hAnsi="宋体" w:eastAsia="宋体" w:cs="Segoe UI"/>
                <w:color w:val="333333"/>
                <w:kern w:val="0"/>
                <w:sz w:val="24"/>
                <w:szCs w:val="24"/>
              </w:rPr>
            </w:pPr>
          </w:p>
        </w:tc>
        <w:tc>
          <w:tcPr>
            <w:tcW w:w="149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wordWrap w:val="0"/>
              <w:jc w:val="center"/>
              <w:rPr>
                <w:rFonts w:ascii="宋体" w:hAnsi="宋体" w:eastAsia="宋体" w:cs="Segoe UI"/>
                <w:color w:val="333333"/>
                <w:kern w:val="0"/>
                <w:sz w:val="24"/>
                <w:szCs w:val="24"/>
              </w:rPr>
            </w:pPr>
          </w:p>
        </w:tc>
        <w:tc>
          <w:tcPr>
            <w:tcW w:w="89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wordWrap w:val="0"/>
              <w:jc w:val="center"/>
              <w:rPr>
                <w:rFonts w:ascii="宋体" w:hAnsi="宋体" w:eastAsia="宋体" w:cs="Segoe UI"/>
                <w:color w:val="333333"/>
                <w:kern w:val="0"/>
                <w:sz w:val="24"/>
                <w:szCs w:val="24"/>
              </w:rPr>
            </w:pPr>
          </w:p>
        </w:tc>
        <w:tc>
          <w:tcPr>
            <w:tcW w:w="846"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wordWrap w:val="0"/>
              <w:jc w:val="center"/>
              <w:rPr>
                <w:rFonts w:ascii="宋体" w:hAnsi="宋体" w:eastAsia="宋体" w:cs="Segoe UI"/>
                <w:color w:val="333333"/>
                <w:kern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wordWrap w:val="0"/>
              <w:jc w:val="center"/>
              <w:rPr>
                <w:rFonts w:ascii="宋体" w:hAnsi="宋体" w:eastAsia="宋体" w:cs="Segoe UI"/>
                <w:color w:val="333333"/>
                <w:kern w:val="0"/>
                <w:sz w:val="24"/>
                <w:szCs w:val="24"/>
              </w:rPr>
            </w:pPr>
          </w:p>
        </w:tc>
        <w:tc>
          <w:tcPr>
            <w:tcW w:w="105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wordWrap w:val="0"/>
              <w:jc w:val="center"/>
              <w:rPr>
                <w:rFonts w:ascii="宋体" w:hAnsi="宋体" w:eastAsia="宋体" w:cs="Segoe UI"/>
                <w:color w:val="333333"/>
                <w:kern w:val="0"/>
                <w:sz w:val="24"/>
                <w:szCs w:val="24"/>
              </w:rPr>
            </w:pPr>
          </w:p>
        </w:tc>
        <w:tc>
          <w:tcPr>
            <w:tcW w:w="159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wordWrap w:val="0"/>
              <w:jc w:val="center"/>
              <w:rPr>
                <w:rFonts w:ascii="宋体" w:hAnsi="宋体" w:eastAsia="宋体" w:cs="Segoe UI"/>
                <w:color w:val="333333"/>
                <w:kern w:val="0"/>
                <w:sz w:val="24"/>
                <w:szCs w:val="24"/>
              </w:rPr>
            </w:pPr>
          </w:p>
        </w:tc>
        <w:tc>
          <w:tcPr>
            <w:tcW w:w="118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wordWrap w:val="0"/>
              <w:jc w:val="center"/>
              <w:rPr>
                <w:rFonts w:ascii="宋体" w:hAnsi="宋体" w:eastAsia="宋体" w:cs="Segoe UI"/>
                <w:color w:val="333333"/>
                <w:kern w:val="0"/>
                <w:sz w:val="24"/>
                <w:szCs w:val="24"/>
              </w:rPr>
            </w:pPr>
          </w:p>
        </w:tc>
      </w:tr>
      <w:tr>
        <w:tblPrEx>
          <w:shd w:val="clear" w:color="auto" w:fill="FFFFFF"/>
          <w:tblCellMar>
            <w:top w:w="0" w:type="dxa"/>
            <w:left w:w="0" w:type="dxa"/>
            <w:bottom w:w="0" w:type="dxa"/>
            <w:right w:w="0" w:type="dxa"/>
          </w:tblCellMar>
        </w:tblPrEx>
        <w:trPr>
          <w:trHeight w:val="390" w:hRule="atLeast"/>
        </w:trPr>
        <w:tc>
          <w:tcPr>
            <w:tcW w:w="10342" w:type="dxa"/>
            <w:gridSpan w:val="9"/>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wordWrap w:val="0"/>
              <w:jc w:val="center"/>
              <w:rPr>
                <w:rFonts w:ascii="宋体" w:hAnsi="宋体" w:eastAsia="宋体" w:cs="Segoe UI"/>
                <w:color w:val="333333"/>
                <w:kern w:val="0"/>
                <w:sz w:val="24"/>
                <w:szCs w:val="24"/>
              </w:rPr>
            </w:pPr>
            <w:r>
              <w:rPr>
                <w:rFonts w:hint="eastAsia" w:ascii="Segoe UI" w:hAnsi="Segoe UI" w:eastAsia="宋体" w:cs="Segoe UI"/>
                <w:color w:val="333333"/>
                <w:kern w:val="0"/>
                <w:sz w:val="18"/>
                <w:szCs w:val="18"/>
              </w:rPr>
              <w:t>投标总价（各项材料报价*年度预估用量）：______________元</w:t>
            </w:r>
          </w:p>
        </w:tc>
      </w:tr>
    </w:tbl>
    <w:p>
      <w:pPr>
        <w:widowControl/>
        <w:shd w:val="clear" w:color="auto" w:fill="FFFFFF"/>
        <w:wordWrap w:val="0"/>
        <w:jc w:val="left"/>
        <w:rPr>
          <w:rFonts w:hint="eastAsia" w:ascii="微软雅黑" w:hAnsi="微软雅黑" w:eastAsia="微软雅黑" w:cs="Segoe UI"/>
          <w:color w:val="333333"/>
          <w:kern w:val="0"/>
          <w:sz w:val="24"/>
          <w:szCs w:val="24"/>
        </w:rPr>
      </w:pPr>
    </w:p>
    <w:p>
      <w:pPr>
        <w:widowControl/>
        <w:shd w:val="clear" w:color="auto" w:fill="FFFFFF"/>
        <w:wordWrap w:val="0"/>
        <w:jc w:val="left"/>
        <w:rPr>
          <w:rFonts w:ascii="微软雅黑" w:hAnsi="微软雅黑" w:eastAsia="微软雅黑" w:cs="Segoe UI"/>
          <w:color w:val="333333"/>
          <w:kern w:val="0"/>
          <w:sz w:val="24"/>
          <w:szCs w:val="24"/>
        </w:rPr>
      </w:pPr>
      <w:r>
        <w:rPr>
          <w:rFonts w:hint="eastAsia" w:ascii="微软雅黑" w:hAnsi="微软雅黑" w:eastAsia="微软雅黑" w:cs="Segoe UI"/>
          <w:color w:val="333333"/>
          <w:kern w:val="0"/>
          <w:sz w:val="24"/>
          <w:szCs w:val="24"/>
        </w:rPr>
        <w:t>注：</w:t>
      </w:r>
    </w:p>
    <w:p>
      <w:pPr>
        <w:widowControl/>
        <w:shd w:val="clear" w:color="auto" w:fill="FFFFFF"/>
        <w:wordWrap w:val="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1、报价应是最终用户验收合格后的总价，包括设备运输、保险、代理、安装调试、培训、税费、系统集成费用和采购文件规定的其它费用。</w:t>
      </w:r>
    </w:p>
    <w:p>
      <w:pPr>
        <w:widowControl/>
        <w:shd w:val="clear" w:color="auto" w:fill="FFFFFF"/>
        <w:wordWrap w:val="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2、“序号”，按照各产品技术参数对应的序号填写。</w:t>
      </w:r>
    </w:p>
    <w:p>
      <w:pPr>
        <w:widowControl/>
        <w:shd w:val="clear" w:color="auto" w:fill="FFFFFF"/>
        <w:wordWrap w:val="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3、“品目及报价表”为多页的，每页均需由法定代表人或授权代表签字并盖投标人印章。</w:t>
      </w:r>
    </w:p>
    <w:p>
      <w:pPr>
        <w:widowControl/>
        <w:shd w:val="clear" w:color="auto" w:fill="FFFFFF"/>
        <w:wordWrap w:val="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4、如有多种规格，请按每种规格分别报价。</w:t>
      </w:r>
    </w:p>
    <w:p>
      <w:pPr>
        <w:widowControl/>
        <w:shd w:val="clear" w:color="auto" w:fill="FFFFFF"/>
        <w:wordWrap w:val="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供应商名称：（盖章）</w:t>
      </w:r>
    </w:p>
    <w:p>
      <w:pPr>
        <w:widowControl/>
        <w:shd w:val="clear" w:color="auto" w:fill="FFFFFF"/>
        <w:wordWrap w:val="0"/>
        <w:jc w:val="left"/>
        <w:rPr>
          <w:rFonts w:ascii="微软雅黑" w:hAnsi="微软雅黑" w:eastAsia="微软雅黑" w:cs="Segoe UI"/>
          <w:color w:val="333333"/>
          <w:kern w:val="0"/>
          <w:sz w:val="24"/>
          <w:szCs w:val="24"/>
        </w:rPr>
      </w:pPr>
      <w:r>
        <w:rPr>
          <w:rFonts w:hint="eastAsia" w:ascii="微软雅黑" w:hAnsi="微软雅黑" w:eastAsia="微软雅黑" w:cs="Segoe UI"/>
          <w:color w:val="333333"/>
          <w:kern w:val="0"/>
          <w:sz w:val="24"/>
          <w:szCs w:val="24"/>
        </w:rPr>
        <w:t>法定代表人或授权代表（签字）：</w:t>
      </w:r>
    </w:p>
    <w:p>
      <w:pPr>
        <w:widowControl/>
        <w:shd w:val="clear" w:color="auto" w:fill="FFFFFF"/>
        <w:wordWrap w:val="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日期：</w:t>
      </w:r>
    </w:p>
    <w:p>
      <w:pPr>
        <w:widowControl/>
        <w:jc w:val="left"/>
        <w:rPr>
          <w:rFonts w:ascii="微软雅黑" w:hAnsi="微软雅黑" w:eastAsia="微软雅黑" w:cs="Segoe UI"/>
          <w:bCs/>
          <w:color w:val="333333"/>
          <w:kern w:val="0"/>
          <w:sz w:val="24"/>
          <w:szCs w:val="24"/>
        </w:rPr>
      </w:pPr>
      <w:r>
        <w:rPr>
          <w:rFonts w:ascii="微软雅黑" w:hAnsi="微软雅黑" w:eastAsia="微软雅黑" w:cs="Segoe UI"/>
          <w:bCs/>
          <w:color w:val="333333"/>
          <w:kern w:val="0"/>
          <w:sz w:val="24"/>
          <w:szCs w:val="24"/>
        </w:rPr>
        <w:br w:type="page"/>
      </w:r>
    </w:p>
    <w:p>
      <w:pPr>
        <w:widowControl/>
        <w:shd w:val="clear" w:color="auto" w:fill="FFFFFF"/>
        <w:wordWrap w:val="0"/>
        <w:ind w:left="720" w:hanging="1571"/>
        <w:jc w:val="left"/>
        <w:rPr>
          <w:rFonts w:ascii="微软雅黑" w:hAnsi="微软雅黑" w:eastAsia="微软雅黑" w:cs="Segoe UI"/>
          <w:bCs/>
          <w:color w:val="333333"/>
          <w:kern w:val="0"/>
          <w:sz w:val="28"/>
          <w:szCs w:val="28"/>
        </w:rPr>
      </w:pPr>
      <w:r>
        <w:rPr>
          <w:rFonts w:hint="eastAsia" w:ascii="微软雅黑" w:hAnsi="微软雅黑" w:eastAsia="微软雅黑" w:cs="Segoe UI"/>
          <w:bCs/>
          <w:color w:val="333333"/>
          <w:kern w:val="0"/>
          <w:sz w:val="28"/>
          <w:szCs w:val="28"/>
        </w:rPr>
        <w:t>附件3-4：</w:t>
      </w:r>
    </w:p>
    <w:p>
      <w:pPr>
        <w:widowControl/>
        <w:shd w:val="clear" w:color="auto" w:fill="FFFFFF"/>
        <w:ind w:left="720" w:hanging="720"/>
        <w:jc w:val="center"/>
        <w:rPr>
          <w:rFonts w:ascii="微软雅黑" w:hAnsi="微软雅黑" w:eastAsia="微软雅黑" w:cs="Segoe UI"/>
          <w:color w:val="333333"/>
          <w:kern w:val="0"/>
          <w:sz w:val="28"/>
          <w:szCs w:val="28"/>
        </w:rPr>
      </w:pPr>
      <w:r>
        <w:rPr>
          <w:rFonts w:hint="eastAsia" w:ascii="微软雅黑" w:hAnsi="微软雅黑" w:eastAsia="微软雅黑" w:cs="Segoe UI"/>
          <w:bCs/>
          <w:color w:val="333333"/>
          <w:kern w:val="0"/>
          <w:sz w:val="28"/>
          <w:szCs w:val="28"/>
        </w:rPr>
        <w:t>法定代表人身份授权书</w:t>
      </w:r>
    </w:p>
    <w:p>
      <w:pPr>
        <w:widowControl/>
        <w:shd w:val="clear" w:color="auto" w:fill="FFFFFF"/>
        <w:wordWrap w:val="0"/>
        <w:spacing w:line="270" w:lineRule="atLeast"/>
        <w:jc w:val="left"/>
        <w:rPr>
          <w:rFonts w:ascii="微软雅黑" w:hAnsi="微软雅黑" w:eastAsia="微软雅黑" w:cs="Segoe UI"/>
          <w:color w:val="333333"/>
          <w:kern w:val="0"/>
          <w:sz w:val="18"/>
          <w:szCs w:val="18"/>
        </w:rPr>
      </w:pPr>
      <w:r>
        <w:rPr>
          <w:rFonts w:hint="eastAsia" w:ascii="微软雅黑" w:hAnsi="微软雅黑" w:eastAsia="微软雅黑" w:cs="Segoe UI"/>
          <w:color w:val="000000"/>
          <w:kern w:val="0"/>
          <w:sz w:val="24"/>
          <w:szCs w:val="24"/>
        </w:rPr>
        <w:t>四川省妇幼保健院：</w:t>
      </w:r>
    </w:p>
    <w:p>
      <w:pPr>
        <w:widowControl/>
        <w:shd w:val="clear" w:color="auto" w:fill="FFFFFF"/>
        <w:wordWrap w:val="0"/>
        <w:spacing w:line="270" w:lineRule="atLeast"/>
        <w:ind w:firstLine="480" w:firstLine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000000"/>
          <w:kern w:val="0"/>
          <w:sz w:val="24"/>
          <w:szCs w:val="24"/>
        </w:rPr>
        <w:t>（法定代表人姓名、职务）授权（被授权人姓名、职务）为我方</w:t>
      </w:r>
      <w:r>
        <w:rPr>
          <w:rFonts w:hint="eastAsia" w:ascii="微软雅黑" w:hAnsi="微软雅黑" w:eastAsia="微软雅黑" w:cs="Segoe UI"/>
          <w:color w:val="000000"/>
          <w:kern w:val="0"/>
          <w:sz w:val="24"/>
          <w:szCs w:val="24"/>
          <w:u w:val="single"/>
        </w:rPr>
        <w:t>“ ”</w:t>
      </w:r>
      <w:r>
        <w:rPr>
          <w:rFonts w:hint="eastAsia" w:ascii="微软雅黑" w:hAnsi="微软雅黑" w:eastAsia="微软雅黑" w:cs="Segoe UI"/>
          <w:color w:val="000000"/>
          <w:kern w:val="0"/>
          <w:sz w:val="24"/>
          <w:szCs w:val="24"/>
        </w:rPr>
        <w:t>项目投标活动的合法代表，以我方名义全权处理该项目有关投标、签订合同以及执行合同等一切事宜。</w:t>
      </w:r>
    </w:p>
    <w:p>
      <w:pPr>
        <w:widowControl/>
        <w:shd w:val="clear" w:color="auto" w:fill="FFFFFF"/>
        <w:wordWrap w:val="0"/>
        <w:spacing w:line="270" w:lineRule="atLeast"/>
        <w:ind w:firstLine="573"/>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特此声明。</w:t>
      </w:r>
    </w:p>
    <w:p>
      <w:pPr>
        <w:widowControl/>
        <w:shd w:val="clear" w:color="auto" w:fill="FFFFFF"/>
        <w:wordWrap w:val="0"/>
        <w:spacing w:line="270" w:lineRule="atLeast"/>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法定代表人签字：</w:t>
      </w:r>
    </w:p>
    <w:p>
      <w:pPr>
        <w:widowControl/>
        <w:shd w:val="clear" w:color="auto" w:fill="FFFFFF"/>
        <w:wordWrap w:val="0"/>
        <w:spacing w:line="270" w:lineRule="atLeast"/>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授权代表签字：</w:t>
      </w:r>
    </w:p>
    <w:p>
      <w:pPr>
        <w:widowControl/>
        <w:shd w:val="clear" w:color="auto" w:fill="FFFFFF"/>
        <w:wordWrap w:val="0"/>
        <w:spacing w:line="270" w:lineRule="atLeast"/>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投标人名称：（加盖公章）</w:t>
      </w:r>
    </w:p>
    <w:p>
      <w:pPr>
        <w:widowControl/>
        <w:shd w:val="clear" w:color="auto" w:fill="FFFFFF"/>
        <w:wordWrap w:val="0"/>
        <w:spacing w:line="270" w:lineRule="atLeast"/>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日期：</w:t>
      </w:r>
    </w:p>
    <w:p>
      <w:pPr>
        <w:widowControl/>
        <w:shd w:val="clear" w:color="auto" w:fill="FFFFFF"/>
        <w:wordWrap w:val="0"/>
        <w:spacing w:line="270" w:lineRule="atLeast"/>
        <w:ind w:left="120" w:hanging="120" w:hangingChars="5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★说明：上述证明文件附有法定代表人、被授权代表身份证复印件（加盖公章）时才能生效。</w:t>
      </w:r>
    </w:p>
    <w:p>
      <w:pPr>
        <w:widowControl/>
        <w:jc w:val="left"/>
        <w:rPr>
          <w:rFonts w:ascii="微软雅黑" w:hAnsi="微软雅黑" w:eastAsia="微软雅黑" w:cs="Segoe UI"/>
          <w:color w:val="333333"/>
          <w:kern w:val="0"/>
          <w:sz w:val="24"/>
          <w:szCs w:val="24"/>
        </w:rPr>
      </w:pPr>
      <w:r>
        <w:rPr>
          <w:rFonts w:ascii="微软雅黑" w:hAnsi="微软雅黑" w:eastAsia="微软雅黑" w:cs="Segoe UI"/>
          <w:color w:val="333333"/>
          <w:kern w:val="0"/>
          <w:sz w:val="24"/>
          <w:szCs w:val="24"/>
        </w:rPr>
        <w:br w:type="page"/>
      </w:r>
    </w:p>
    <w:p>
      <w:pPr>
        <w:widowControl/>
        <w:shd w:val="clear" w:color="auto" w:fill="FFFFFF"/>
        <w:wordWrap w:val="0"/>
        <w:ind w:left="-850" w:leftChars="-405"/>
        <w:jc w:val="left"/>
        <w:rPr>
          <w:rFonts w:hint="eastAsia" w:ascii="黑体" w:hAnsi="黑体" w:eastAsia="黑体" w:cs="黑体"/>
          <w:b/>
          <w:bCs/>
          <w:color w:val="333333"/>
          <w:kern w:val="0"/>
          <w:sz w:val="28"/>
          <w:szCs w:val="28"/>
        </w:rPr>
      </w:pPr>
      <w:r>
        <w:rPr>
          <w:rFonts w:hint="eastAsia" w:ascii="黑体" w:hAnsi="黑体" w:eastAsia="黑体" w:cs="黑体"/>
          <w:b/>
          <w:bCs/>
          <w:color w:val="333333"/>
          <w:kern w:val="0"/>
          <w:sz w:val="28"/>
          <w:szCs w:val="28"/>
        </w:rPr>
        <w:t> </w:t>
      </w:r>
      <w:r>
        <w:rPr>
          <w:rFonts w:hint="eastAsia" w:ascii="黑体" w:hAnsi="黑体" w:eastAsia="黑体" w:cs="黑体"/>
          <w:b/>
          <w:bCs/>
          <w:color w:val="333333"/>
          <w:kern w:val="0"/>
          <w:sz w:val="28"/>
          <w:szCs w:val="28"/>
        </w:rPr>
        <w:t>附件4：</w:t>
      </w:r>
    </w:p>
    <w:p>
      <w:pPr>
        <w:widowControl/>
        <w:shd w:val="clear" w:color="auto" w:fill="FFFFFF"/>
        <w:spacing w:line="270" w:lineRule="atLeast"/>
        <w:jc w:val="center"/>
        <w:rPr>
          <w:rFonts w:ascii="微软雅黑" w:hAnsi="微软雅黑" w:eastAsia="微软雅黑" w:cs="Segoe UI"/>
          <w:color w:val="333333"/>
          <w:kern w:val="0"/>
          <w:sz w:val="28"/>
          <w:szCs w:val="28"/>
        </w:rPr>
      </w:pPr>
      <w:bookmarkStart w:id="1" w:name="_GoBack"/>
      <w:bookmarkEnd w:id="1"/>
      <w:r>
        <w:rPr>
          <w:rFonts w:hint="eastAsia" w:ascii="微软雅黑" w:hAnsi="微软雅黑" w:eastAsia="微软雅黑" w:cs="Segoe UI"/>
          <w:bCs/>
          <w:color w:val="333333"/>
          <w:kern w:val="0"/>
          <w:sz w:val="28"/>
          <w:szCs w:val="28"/>
        </w:rPr>
        <w:t>反商业贿赂承诺书</w:t>
      </w:r>
    </w:p>
    <w:p>
      <w:pPr>
        <w:widowControl/>
        <w:shd w:val="clear" w:color="auto" w:fill="FFFFFF"/>
        <w:wordWrap w:val="0"/>
        <w:spacing w:line="270" w:lineRule="atLeast"/>
        <w:ind w:firstLine="480" w:firstLine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wordWrap w:val="0"/>
        <w:spacing w:line="270" w:lineRule="atLeast"/>
        <w:ind w:firstLine="480" w:firstLine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一、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wordWrap w:val="0"/>
        <w:spacing w:line="270" w:lineRule="atLeast"/>
        <w:ind w:firstLine="480" w:firstLine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二、本厂家、商家、公司保证在药品、医疗器械、设备、物资、基建工程竞标工作及药品、试剂销售等工作中承诺做到：</w:t>
      </w:r>
    </w:p>
    <w:p>
      <w:pPr>
        <w:widowControl/>
        <w:shd w:val="clear" w:color="auto" w:fill="FFFFFF"/>
        <w:wordWrap w:val="0"/>
        <w:spacing w:line="270" w:lineRule="atLeast"/>
        <w:ind w:firstLine="480" w:firstLine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1、不与其他投标人相互串通投标报价，损害贵院的合法权益；</w:t>
      </w:r>
    </w:p>
    <w:p>
      <w:pPr>
        <w:widowControl/>
        <w:shd w:val="clear" w:color="auto" w:fill="FFFFFF"/>
        <w:wordWrap w:val="0"/>
        <w:spacing w:line="270" w:lineRule="atLeast"/>
        <w:ind w:firstLine="480" w:firstLine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2、不与招标人串通投标，损害国家利益、社会公共利益或他人的合法权益；</w:t>
      </w:r>
    </w:p>
    <w:p>
      <w:pPr>
        <w:widowControl/>
        <w:shd w:val="clear" w:color="auto" w:fill="FFFFFF"/>
        <w:wordWrap w:val="0"/>
        <w:spacing w:line="270" w:lineRule="atLeast"/>
        <w:ind w:firstLine="480" w:firstLine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3、不以向招标人或者评标委员会成员行贿的手段谋取中标；</w:t>
      </w:r>
    </w:p>
    <w:p>
      <w:pPr>
        <w:widowControl/>
        <w:shd w:val="clear" w:color="auto" w:fill="FFFFFF"/>
        <w:wordWrap w:val="0"/>
        <w:spacing w:line="270" w:lineRule="atLeast"/>
        <w:ind w:firstLine="480" w:firstLine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4、竞标报价不违反相关法律的规定，也不以他人名义投标或者以其他方式弄虚作假，骗取中标；</w:t>
      </w:r>
    </w:p>
    <w:p>
      <w:pPr>
        <w:widowControl/>
        <w:shd w:val="clear" w:color="auto" w:fill="FFFFFF"/>
        <w:wordWrap w:val="0"/>
        <w:spacing w:line="270" w:lineRule="atLeast"/>
        <w:ind w:firstLine="480" w:firstLine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5、保证不以其他任何方式扰乱贵院的招标工作；</w:t>
      </w:r>
    </w:p>
    <w:p>
      <w:pPr>
        <w:widowControl/>
        <w:shd w:val="clear" w:color="auto" w:fill="FFFFFF"/>
        <w:wordWrap w:val="0"/>
        <w:spacing w:line="270" w:lineRule="atLeast"/>
        <w:ind w:firstLine="480" w:firstLine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wordWrap w:val="0"/>
        <w:spacing w:line="270" w:lineRule="atLeast"/>
        <w:ind w:firstLine="480" w:firstLine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wordWrap w:val="0"/>
        <w:spacing w:line="270" w:lineRule="atLeast"/>
        <w:ind w:firstLine="480" w:firstLine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8、保证不让贵院临床科室、药剂部门以及有关人员登记、统计医生处方或为此提供方便，干扰贵院的正常工作秩序；</w:t>
      </w:r>
    </w:p>
    <w:p>
      <w:pPr>
        <w:widowControl/>
        <w:shd w:val="clear" w:color="auto" w:fill="FFFFFF"/>
        <w:wordWrap w:val="0"/>
        <w:spacing w:line="270" w:lineRule="atLeast"/>
        <w:ind w:firstLine="480" w:firstLine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9、保证不以其他任何不正当竞争手段推销药品、医疗器械、设备、物资。</w:t>
      </w:r>
    </w:p>
    <w:p>
      <w:pPr>
        <w:widowControl/>
        <w:shd w:val="clear" w:color="auto" w:fill="FFFFFF"/>
        <w:wordWrap w:val="0"/>
        <w:spacing w:line="270" w:lineRule="atLeast"/>
        <w:ind w:firstLine="480" w:firstLine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三、本厂家、商家、公司保证竭力维护贵院的声誉，不做任何有损贵院形象的事情。</w:t>
      </w:r>
    </w:p>
    <w:p>
      <w:pPr>
        <w:widowControl/>
        <w:shd w:val="clear" w:color="auto" w:fill="FFFFFF"/>
        <w:wordWrap w:val="0"/>
        <w:spacing w:line="270" w:lineRule="atLeast"/>
        <w:ind w:firstLine="480" w:firstLine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四、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wordWrap w:val="0"/>
        <w:spacing w:line="270" w:lineRule="atLeast"/>
        <w:ind w:firstLine="480" w:firstLine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五、对本厂家、商家、公司及本厂家、商家、公司工作人员采取以上手段竞标、促销等，干扰贵院正常工作秩序，损害贵院形象的，本厂家、商家、公司保证：</w:t>
      </w:r>
    </w:p>
    <w:p>
      <w:pPr>
        <w:widowControl/>
        <w:shd w:val="clear" w:color="auto" w:fill="FFFFFF"/>
        <w:wordWrap w:val="0"/>
        <w:spacing w:line="270" w:lineRule="atLeast"/>
        <w:ind w:firstLine="480" w:firstLine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wordWrap w:val="0"/>
        <w:spacing w:line="270" w:lineRule="atLeast"/>
        <w:ind w:firstLine="480" w:firstLine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2、对本厂家、商家、公司相关工作人员作出严肃处理；</w:t>
      </w:r>
    </w:p>
    <w:p>
      <w:pPr>
        <w:widowControl/>
        <w:shd w:val="clear" w:color="auto" w:fill="FFFFFF"/>
        <w:wordWrap w:val="0"/>
        <w:spacing w:line="270" w:lineRule="atLeast"/>
        <w:ind w:firstLine="480" w:firstLine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wordWrap w:val="0"/>
        <w:spacing w:line="270" w:lineRule="atLeast"/>
        <w:ind w:firstLine="480" w:firstLineChars="200"/>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六、采购物资名称：</w:t>
      </w:r>
    </w:p>
    <w:p>
      <w:pPr>
        <w:widowControl/>
        <w:shd w:val="clear" w:color="auto" w:fill="FFFFFF"/>
        <w:wordWrap w:val="0"/>
        <w:spacing w:line="270" w:lineRule="atLeast"/>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 </w:t>
      </w:r>
      <w:r>
        <w:rPr>
          <w:rFonts w:hint="eastAsia" w:ascii="微软雅黑" w:hAnsi="微软雅黑" w:eastAsia="微软雅黑" w:cs="Segoe UI"/>
          <w:color w:val="333333"/>
          <w:kern w:val="0"/>
          <w:sz w:val="18"/>
          <w:szCs w:val="18"/>
        </w:rPr>
        <w:t xml:space="preserve">    </w:t>
      </w:r>
      <w:r>
        <w:rPr>
          <w:rFonts w:hint="eastAsia" w:ascii="微软雅黑" w:hAnsi="微软雅黑" w:eastAsia="微软雅黑" w:cs="Segoe UI"/>
          <w:color w:val="333333"/>
          <w:kern w:val="0"/>
          <w:sz w:val="24"/>
          <w:szCs w:val="24"/>
        </w:rPr>
        <w:t>本《承诺书》一式二份（一份由承诺人自存；一份随竞价书传递）</w:t>
      </w:r>
    </w:p>
    <w:p>
      <w:pPr>
        <w:widowControl/>
        <w:shd w:val="clear" w:color="auto" w:fill="FFFFFF"/>
        <w:wordWrap w:val="0"/>
        <w:spacing w:line="270" w:lineRule="atLeast"/>
        <w:jc w:val="left"/>
        <w:rPr>
          <w:rFonts w:ascii="微软雅黑" w:hAnsi="微软雅黑" w:eastAsia="微软雅黑" w:cs="Segoe UI"/>
          <w:color w:val="333333"/>
          <w:kern w:val="0"/>
          <w:sz w:val="24"/>
          <w:szCs w:val="24"/>
        </w:rPr>
      </w:pPr>
      <w:r>
        <w:rPr>
          <w:rFonts w:hint="eastAsia" w:ascii="微软雅黑" w:hAnsi="微软雅黑" w:eastAsia="微软雅黑" w:cs="Segoe UI"/>
          <w:color w:val="333333"/>
          <w:kern w:val="0"/>
          <w:sz w:val="24"/>
          <w:szCs w:val="24"/>
        </w:rPr>
        <w:t>承诺企业名称（公章）：</w:t>
      </w:r>
    </w:p>
    <w:p>
      <w:pPr>
        <w:widowControl/>
        <w:shd w:val="clear" w:color="auto" w:fill="FFFFFF"/>
        <w:wordWrap w:val="0"/>
        <w:spacing w:line="270" w:lineRule="atLeast"/>
        <w:jc w:val="left"/>
        <w:rPr>
          <w:rFonts w:ascii="微软雅黑" w:hAnsi="微软雅黑" w:eastAsia="微软雅黑" w:cs="Segoe UI"/>
          <w:color w:val="333333"/>
          <w:kern w:val="0"/>
          <w:sz w:val="18"/>
          <w:szCs w:val="18"/>
        </w:rPr>
      </w:pPr>
      <w:r>
        <w:rPr>
          <w:rFonts w:hint="eastAsia" w:ascii="微软雅黑" w:hAnsi="微软雅黑" w:eastAsia="微软雅黑" w:cs="Segoe UI"/>
          <w:color w:val="333333"/>
          <w:kern w:val="0"/>
          <w:sz w:val="24"/>
          <w:szCs w:val="24"/>
        </w:rPr>
        <w:t>法人代表或委托代理人（承诺人）：</w:t>
      </w:r>
    </w:p>
    <w:p>
      <w:pPr>
        <w:rPr>
          <w:rFonts w:ascii="微软雅黑" w:hAnsi="微软雅黑" w:eastAsia="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07C6"/>
    <w:rsid w:val="00003C46"/>
    <w:rsid w:val="00036523"/>
    <w:rsid w:val="00041E17"/>
    <w:rsid w:val="0005210B"/>
    <w:rsid w:val="00063CBF"/>
    <w:rsid w:val="0006460C"/>
    <w:rsid w:val="0007165F"/>
    <w:rsid w:val="00076447"/>
    <w:rsid w:val="000A62C9"/>
    <w:rsid w:val="000B16A7"/>
    <w:rsid w:val="000B33B6"/>
    <w:rsid w:val="000C6DE7"/>
    <w:rsid w:val="000D51C8"/>
    <w:rsid w:val="000D5C22"/>
    <w:rsid w:val="000F15ED"/>
    <w:rsid w:val="000F2C83"/>
    <w:rsid w:val="000F6C4B"/>
    <w:rsid w:val="00121958"/>
    <w:rsid w:val="0015585F"/>
    <w:rsid w:val="00155BC2"/>
    <w:rsid w:val="00162B49"/>
    <w:rsid w:val="00164168"/>
    <w:rsid w:val="001A358F"/>
    <w:rsid w:val="001A45DB"/>
    <w:rsid w:val="001B0588"/>
    <w:rsid w:val="001F7BFA"/>
    <w:rsid w:val="002159C8"/>
    <w:rsid w:val="002235A9"/>
    <w:rsid w:val="002304B6"/>
    <w:rsid w:val="00241D90"/>
    <w:rsid w:val="0024392F"/>
    <w:rsid w:val="002458CC"/>
    <w:rsid w:val="00252A2B"/>
    <w:rsid w:val="00256247"/>
    <w:rsid w:val="00263BB6"/>
    <w:rsid w:val="002657E6"/>
    <w:rsid w:val="00277FFD"/>
    <w:rsid w:val="00281139"/>
    <w:rsid w:val="00284914"/>
    <w:rsid w:val="002960DF"/>
    <w:rsid w:val="002A4A21"/>
    <w:rsid w:val="002A62FC"/>
    <w:rsid w:val="002B3E93"/>
    <w:rsid w:val="002C20D0"/>
    <w:rsid w:val="002D24A3"/>
    <w:rsid w:val="002E7BA2"/>
    <w:rsid w:val="00302391"/>
    <w:rsid w:val="00307257"/>
    <w:rsid w:val="00316715"/>
    <w:rsid w:val="00316EEA"/>
    <w:rsid w:val="00320483"/>
    <w:rsid w:val="00321286"/>
    <w:rsid w:val="00332D2D"/>
    <w:rsid w:val="00336183"/>
    <w:rsid w:val="003571ED"/>
    <w:rsid w:val="003734AF"/>
    <w:rsid w:val="0037764A"/>
    <w:rsid w:val="00381F4A"/>
    <w:rsid w:val="003876DE"/>
    <w:rsid w:val="00397AC3"/>
    <w:rsid w:val="003A312B"/>
    <w:rsid w:val="003A3A68"/>
    <w:rsid w:val="003B1083"/>
    <w:rsid w:val="003B1285"/>
    <w:rsid w:val="003C4FCB"/>
    <w:rsid w:val="003E2E35"/>
    <w:rsid w:val="003E3434"/>
    <w:rsid w:val="003E665F"/>
    <w:rsid w:val="003F176C"/>
    <w:rsid w:val="00406001"/>
    <w:rsid w:val="00434647"/>
    <w:rsid w:val="004850A0"/>
    <w:rsid w:val="004A1DE7"/>
    <w:rsid w:val="004C5D3B"/>
    <w:rsid w:val="004C7E04"/>
    <w:rsid w:val="004E0E8C"/>
    <w:rsid w:val="005023C7"/>
    <w:rsid w:val="00507FB6"/>
    <w:rsid w:val="00550E49"/>
    <w:rsid w:val="0059496F"/>
    <w:rsid w:val="005A7995"/>
    <w:rsid w:val="005B3408"/>
    <w:rsid w:val="005B593C"/>
    <w:rsid w:val="005D4626"/>
    <w:rsid w:val="005D627E"/>
    <w:rsid w:val="005D6503"/>
    <w:rsid w:val="005E36E0"/>
    <w:rsid w:val="005F5AC4"/>
    <w:rsid w:val="00606C2A"/>
    <w:rsid w:val="006250B9"/>
    <w:rsid w:val="0063492D"/>
    <w:rsid w:val="00661D00"/>
    <w:rsid w:val="00665D29"/>
    <w:rsid w:val="006A56E6"/>
    <w:rsid w:val="006A7032"/>
    <w:rsid w:val="006D2087"/>
    <w:rsid w:val="006D28BF"/>
    <w:rsid w:val="006E17CC"/>
    <w:rsid w:val="006E6BF8"/>
    <w:rsid w:val="006F1D17"/>
    <w:rsid w:val="006F4692"/>
    <w:rsid w:val="00741E5D"/>
    <w:rsid w:val="00742662"/>
    <w:rsid w:val="00750633"/>
    <w:rsid w:val="00751F96"/>
    <w:rsid w:val="0076295F"/>
    <w:rsid w:val="00770044"/>
    <w:rsid w:val="00786FE7"/>
    <w:rsid w:val="00791562"/>
    <w:rsid w:val="00796FF5"/>
    <w:rsid w:val="007A5851"/>
    <w:rsid w:val="007E11FD"/>
    <w:rsid w:val="007E4559"/>
    <w:rsid w:val="008062CE"/>
    <w:rsid w:val="00811EB2"/>
    <w:rsid w:val="0082423B"/>
    <w:rsid w:val="00825C34"/>
    <w:rsid w:val="0086528E"/>
    <w:rsid w:val="00874646"/>
    <w:rsid w:val="0087669A"/>
    <w:rsid w:val="008822B5"/>
    <w:rsid w:val="00887EEE"/>
    <w:rsid w:val="008901D0"/>
    <w:rsid w:val="008B5574"/>
    <w:rsid w:val="008D1D02"/>
    <w:rsid w:val="008D3189"/>
    <w:rsid w:val="008E10FB"/>
    <w:rsid w:val="008E1E35"/>
    <w:rsid w:val="008F1F97"/>
    <w:rsid w:val="008F33B5"/>
    <w:rsid w:val="0090737B"/>
    <w:rsid w:val="00910702"/>
    <w:rsid w:val="00943CCC"/>
    <w:rsid w:val="00957EA6"/>
    <w:rsid w:val="009707C6"/>
    <w:rsid w:val="00983065"/>
    <w:rsid w:val="00984A3E"/>
    <w:rsid w:val="009C7A99"/>
    <w:rsid w:val="009E6749"/>
    <w:rsid w:val="009F38DE"/>
    <w:rsid w:val="00A03A46"/>
    <w:rsid w:val="00A24650"/>
    <w:rsid w:val="00A40F3D"/>
    <w:rsid w:val="00A43AC7"/>
    <w:rsid w:val="00A53116"/>
    <w:rsid w:val="00A7660C"/>
    <w:rsid w:val="00AB088A"/>
    <w:rsid w:val="00AD55E2"/>
    <w:rsid w:val="00AF07A7"/>
    <w:rsid w:val="00B20393"/>
    <w:rsid w:val="00B228A5"/>
    <w:rsid w:val="00B35C7B"/>
    <w:rsid w:val="00B3676A"/>
    <w:rsid w:val="00B51372"/>
    <w:rsid w:val="00B5786B"/>
    <w:rsid w:val="00B70FF7"/>
    <w:rsid w:val="00BA3D43"/>
    <w:rsid w:val="00BB0CDF"/>
    <w:rsid w:val="00BE3FF0"/>
    <w:rsid w:val="00C120B3"/>
    <w:rsid w:val="00C14414"/>
    <w:rsid w:val="00C22901"/>
    <w:rsid w:val="00C276BD"/>
    <w:rsid w:val="00C324A1"/>
    <w:rsid w:val="00C37F08"/>
    <w:rsid w:val="00C50D05"/>
    <w:rsid w:val="00C7687B"/>
    <w:rsid w:val="00C826E5"/>
    <w:rsid w:val="00C86058"/>
    <w:rsid w:val="00C87403"/>
    <w:rsid w:val="00CC54C3"/>
    <w:rsid w:val="00CD4966"/>
    <w:rsid w:val="00D13C86"/>
    <w:rsid w:val="00D1796F"/>
    <w:rsid w:val="00D328AF"/>
    <w:rsid w:val="00D42A2B"/>
    <w:rsid w:val="00D4407F"/>
    <w:rsid w:val="00D61608"/>
    <w:rsid w:val="00D64722"/>
    <w:rsid w:val="00D649C7"/>
    <w:rsid w:val="00D73E00"/>
    <w:rsid w:val="00D865FE"/>
    <w:rsid w:val="00DA31F3"/>
    <w:rsid w:val="00DA7B43"/>
    <w:rsid w:val="00DD1D05"/>
    <w:rsid w:val="00DE770F"/>
    <w:rsid w:val="00DF55ED"/>
    <w:rsid w:val="00E023C8"/>
    <w:rsid w:val="00E1317D"/>
    <w:rsid w:val="00E3255E"/>
    <w:rsid w:val="00E41928"/>
    <w:rsid w:val="00E509B1"/>
    <w:rsid w:val="00E85AF3"/>
    <w:rsid w:val="00EA3875"/>
    <w:rsid w:val="00EA4B19"/>
    <w:rsid w:val="00EA53C6"/>
    <w:rsid w:val="00EF0A5D"/>
    <w:rsid w:val="00EF7D43"/>
    <w:rsid w:val="00F03B87"/>
    <w:rsid w:val="00F0757B"/>
    <w:rsid w:val="00F23FE0"/>
    <w:rsid w:val="00F65786"/>
    <w:rsid w:val="00F726DE"/>
    <w:rsid w:val="00F74D2E"/>
    <w:rsid w:val="00F80E52"/>
    <w:rsid w:val="00F812A2"/>
    <w:rsid w:val="00FA5EAB"/>
    <w:rsid w:val="00FB0A1E"/>
    <w:rsid w:val="00FB78A5"/>
    <w:rsid w:val="00FE5E1A"/>
    <w:rsid w:val="00FE68DB"/>
    <w:rsid w:val="05D909D1"/>
    <w:rsid w:val="07F97810"/>
    <w:rsid w:val="0D445343"/>
    <w:rsid w:val="312D4C90"/>
    <w:rsid w:val="3A6754FE"/>
    <w:rsid w:val="4D4724B1"/>
    <w:rsid w:val="57CE6236"/>
    <w:rsid w:val="5FB21E59"/>
    <w:rsid w:val="72202F74"/>
    <w:rsid w:val="75512F7D"/>
    <w:rsid w:val="7CCB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正文 A"/>
    <w:qFormat/>
    <w:uiPriority w:val="0"/>
    <w:pPr>
      <w:framePr w:wrap="around" w:vAnchor="margin" w:hAnchor="text" w:y="1"/>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styleId="11">
    <w:name w:val="List Paragraph"/>
    <w:basedOn w:val="1"/>
    <w:qFormat/>
    <w:uiPriority w:val="34"/>
    <w:pPr>
      <w:ind w:firstLine="420" w:firstLineChars="200"/>
    </w:pPr>
  </w:style>
  <w:style w:type="paragraph" w:customStyle="1" w:styleId="12">
    <w:name w:val="Char"/>
    <w:basedOn w:val="1"/>
    <w:qFormat/>
    <w:uiPriority w:val="0"/>
    <w:rPr>
      <w:rFonts w:ascii="Tahoma" w:hAnsi="Tahoma" w:eastAsia="宋体" w:cs="Times New Roman"/>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463</Words>
  <Characters>2640</Characters>
  <Lines>22</Lines>
  <Paragraphs>6</Paragraphs>
  <TotalTime>2</TotalTime>
  <ScaleCrop>false</ScaleCrop>
  <LinksUpToDate>false</LinksUpToDate>
  <CharactersWithSpaces>3097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2019-11-29T09:32:00Z</dcterms:created>
  <dc:creator>a</dc:creator>
  <cp:lastModifiedBy>Administrator</cp:lastModifiedBy>
  <cp:lastPrinted>2021-01-04T11:22:00Z</cp:lastPrinted>
  <dcterms:modified xsi:type="dcterms:W3CDTF">2022-01-14T01:50:42Z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