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</w:t>
      </w:r>
      <w:r>
        <w:rPr>
          <w:rFonts w:hint="eastAsia" w:ascii="仿宋" w:hAnsi="仿宋" w:eastAsia="仿宋" w:cs="Times New Roman"/>
          <w:b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 w:cs="Times New Roman"/>
          <w:b/>
          <w:sz w:val="24"/>
          <w:szCs w:val="24"/>
        </w:rPr>
        <w:t>药品质量保证承诺书</w:t>
      </w:r>
    </w:p>
    <w:p>
      <w:pPr>
        <w:spacing w:beforeLines="50" w:afterLines="50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hint="eastAsia" w:ascii="仿宋" w:hAnsi="仿宋" w:eastAsia="仿宋" w:cs="黑体"/>
          <w:b/>
          <w:bCs/>
          <w:sz w:val="32"/>
          <w:szCs w:val="32"/>
        </w:rPr>
        <w:t>药品质量保证承诺书</w:t>
      </w: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8"/>
          <w:szCs w:val="28"/>
        </w:rPr>
        <w:t>四川省妇幼保健院 四川省妇女儿童医院：</w:t>
      </w:r>
    </w:p>
    <w:p>
      <w:pPr>
        <w:spacing w:line="360" w:lineRule="auto"/>
        <w:ind w:firstLine="480" w:firstLineChars="2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为了加强药品质量管理，保证药品质量，维护消费者权益，根据《中华人民共和国药品管理法》、《中华人民共和国质量法》、《药品经营质量管理规范》等相关法律、法规的要求，企业特郑重承诺如下：</w:t>
      </w:r>
    </w:p>
    <w:p>
      <w:pPr>
        <w:numPr>
          <w:ilvl w:val="0"/>
          <w:numId w:val="1"/>
        </w:numPr>
        <w:tabs>
          <w:tab w:val="left" w:pos="709"/>
        </w:tabs>
        <w:spacing w:line="360" w:lineRule="auto"/>
        <w:ind w:left="709" w:hanging="709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企业必须具备《药品生产许可证》或《药品经营许可证》、《营业执照》、</w:t>
      </w:r>
      <w:r>
        <w:rPr>
          <w:rFonts w:ascii="仿宋" w:hAnsi="仿宋" w:eastAsia="仿宋" w:cs="宋体"/>
          <w:sz w:val="24"/>
          <w:szCs w:val="24"/>
        </w:rPr>
        <w:t>GMP</w:t>
      </w:r>
      <w:r>
        <w:rPr>
          <w:rFonts w:hint="eastAsia" w:ascii="仿宋" w:hAnsi="仿宋" w:eastAsia="仿宋" w:cs="宋体"/>
          <w:sz w:val="24"/>
          <w:szCs w:val="24"/>
        </w:rPr>
        <w:t>证书或</w:t>
      </w:r>
      <w:r>
        <w:rPr>
          <w:rFonts w:ascii="仿宋" w:hAnsi="仿宋" w:eastAsia="仿宋" w:cs="宋体"/>
          <w:sz w:val="24"/>
          <w:szCs w:val="24"/>
        </w:rPr>
        <w:t>GSP</w:t>
      </w:r>
      <w:r>
        <w:rPr>
          <w:rFonts w:hint="eastAsia" w:ascii="仿宋" w:hAnsi="仿宋" w:eastAsia="仿宋" w:cs="宋体"/>
          <w:sz w:val="24"/>
          <w:szCs w:val="24"/>
        </w:rPr>
        <w:t>证书并保证在规定的范围内经营。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药品质量符合国家现行规定的质量标准和有关质量要求。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进口药品由经营企业提供《进口药品检验报告书》和《进口药品注册证》，并加盖经营企业质量管理机构鲜章。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药品整件包装箱内附产品合格证，每批药品均附同批号的《药品检验报告书》并加盖生产企业印章。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保证药品的包装、标签及说明书符合有关规定。包装牢固，符合储存和运输要求。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保证药品的储存及在途条件符合药品质量标准规定。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发现药品有质量问题、数量短少、破损等，所造成的损失由企业全部承担。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对近效期药品，企业销售人员应积极协商退、换货事宜。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企业严格按照医院采购计划数量及时配送药品。</w:t>
      </w:r>
    </w:p>
    <w:p>
      <w:pPr>
        <w:numPr>
          <w:ilvl w:val="0"/>
          <w:numId w:val="1"/>
        </w:numPr>
        <w:spacing w:line="360" w:lineRule="auto"/>
        <w:ind w:left="720" w:hanging="720" w:hangingChars="300"/>
        <w:rPr>
          <w:rFonts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紧急情况下，企业接到采购应急药品通知后，原则上2小时内将应急药品送达医院药库，并确保所供药品的质量合格。</w:t>
      </w:r>
    </w:p>
    <w:p>
      <w:pPr>
        <w:rPr>
          <w:rFonts w:ascii="仿宋" w:hAnsi="仿宋" w:eastAsia="仿宋" w:cs="Times New Roman"/>
          <w:szCs w:val="24"/>
        </w:rPr>
      </w:pPr>
    </w:p>
    <w:p>
      <w:pPr>
        <w:spacing w:line="500" w:lineRule="exact"/>
        <w:ind w:firstLine="600" w:firstLineChars="250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生产企业（公  章）：                  配送企业（公  章）：</w:t>
      </w: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left="315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ind w:right="480"/>
        <w:jc w:val="right"/>
        <w:rPr>
          <w:rFonts w:ascii="仿宋" w:hAnsi="仿宋" w:eastAsia="仿宋" w:cs="Times New Roman"/>
          <w:b/>
          <w:sz w:val="24"/>
          <w:szCs w:val="24"/>
        </w:rPr>
      </w:pPr>
    </w:p>
    <w:p>
      <w:pPr>
        <w:wordWrap w:val="0"/>
        <w:ind w:right="480"/>
        <w:jc w:val="right"/>
        <w:rPr>
          <w:rFonts w:ascii="仿宋" w:hAnsi="仿宋" w:eastAsia="仿宋" w:cs="宋体"/>
          <w:sz w:val="24"/>
          <w:szCs w:val="24"/>
        </w:rPr>
      </w:pPr>
      <w:r>
        <w:rPr>
          <w:rFonts w:hint="eastAsia" w:ascii="仿宋" w:hAnsi="仿宋" w:eastAsia="仿宋" w:cs="宋体"/>
          <w:sz w:val="24"/>
          <w:szCs w:val="24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F3E31"/>
    <w:multiLevelType w:val="multilevel"/>
    <w:tmpl w:val="1A7F3E31"/>
    <w:lvl w:ilvl="0" w:tentative="0">
      <w:start w:val="1"/>
      <w:numFmt w:val="japaneseCounting"/>
      <w:lvlText w:val="%1、"/>
      <w:lvlJc w:val="left"/>
      <w:pPr>
        <w:tabs>
          <w:tab w:val="left" w:pos="855"/>
        </w:tabs>
        <w:ind w:left="855" w:hanging="855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I2ZGE2YTEwNTQ0NzY4NWExYjBlYTVjZTFlZjIxNDUifQ=="/>
  </w:docVars>
  <w:rsids>
    <w:rsidRoot w:val="00EF09D6"/>
    <w:rsid w:val="0007243B"/>
    <w:rsid w:val="001E1F76"/>
    <w:rsid w:val="004B7419"/>
    <w:rsid w:val="004B7445"/>
    <w:rsid w:val="005C6BAB"/>
    <w:rsid w:val="006A3623"/>
    <w:rsid w:val="007327F1"/>
    <w:rsid w:val="007D5CEB"/>
    <w:rsid w:val="009B064D"/>
    <w:rsid w:val="00CB05E7"/>
    <w:rsid w:val="00E11D95"/>
    <w:rsid w:val="00E322B7"/>
    <w:rsid w:val="00E53F13"/>
    <w:rsid w:val="00EB0290"/>
    <w:rsid w:val="00EF09D6"/>
    <w:rsid w:val="00FD3F48"/>
    <w:rsid w:val="3C7723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uiPriority w:val="99"/>
    <w:pPr>
      <w:jc w:val="left"/>
    </w:pPr>
    <w:rPr>
      <w:rFonts w:ascii="等线" w:hAnsi="等线" w:eastAsia="等线" w:cs="Times New Roman"/>
    </w:r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unhideWhenUsed/>
    <w:uiPriority w:val="99"/>
    <w:rPr>
      <w:sz w:val="21"/>
      <w:szCs w:val="21"/>
    </w:rPr>
  </w:style>
  <w:style w:type="character" w:customStyle="1" w:styleId="9">
    <w:name w:val="批注文字 Char"/>
    <w:basedOn w:val="7"/>
    <w:link w:val="2"/>
    <w:semiHidden/>
    <w:uiPriority w:val="99"/>
    <w:rPr>
      <w:rFonts w:ascii="等线" w:hAnsi="等线" w:eastAsia="等线" w:cs="Times New Roman"/>
    </w:rPr>
  </w:style>
  <w:style w:type="character" w:customStyle="1" w:styleId="10">
    <w:name w:val="批注框文本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511</Words>
  <Characters>515</Characters>
  <Lines>3</Lines>
  <Paragraphs>1</Paragraphs>
  <TotalTime>5</TotalTime>
  <ScaleCrop>false</ScaleCrop>
  <LinksUpToDate>false</LinksUpToDate>
  <CharactersWithSpaces>542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2019-11-25T09:10:00Z</dcterms:created>
  <dc:creator>xmin</dc:creator>
  <cp:lastModifiedBy>加速度</cp:lastModifiedBy>
  <dcterms:modified xsi:type="dcterms:W3CDTF">2022-12-20T01:17:50Z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B1233CFC4EE34BD29C9FE07885111648</vt:lpwstr>
  </property>
</Properties>
</file>