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（一）采购项目配置需求</w:t>
      </w:r>
    </w:p>
    <w:tbl>
      <w:tblPr>
        <w:tblStyle w:val="6"/>
        <w:tblpPr w:leftFromText="180" w:rightFromText="180" w:vertAnchor="text" w:horzAnchor="page" w:tblpX="743" w:tblpY="301"/>
        <w:tblOverlap w:val="never"/>
        <w:tblW w:w="6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32"/>
        <w:gridCol w:w="1034"/>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32" w:type="pct"/>
            <w:noWrap w:val="0"/>
            <w:vAlign w:val="center"/>
          </w:tcPr>
          <w:p>
            <w:pPr>
              <w:spacing w:line="420" w:lineRule="exact"/>
              <w:jc w:val="center"/>
              <w:rPr>
                <w:rFonts w:hint="eastAsia" w:ascii="宋体" w:hAnsi="宋体" w:eastAsia="宋体" w:cs="Segoe UI"/>
                <w:spacing w:val="8"/>
                <w:kern w:val="0"/>
                <w:sz w:val="18"/>
                <w:szCs w:val="18"/>
                <w:lang w:eastAsia="zh-CN"/>
              </w:rPr>
            </w:pPr>
            <w:r>
              <w:rPr>
                <w:rFonts w:hint="eastAsia" w:cs="宋体"/>
                <w:color w:val="000000"/>
                <w:kern w:val="0"/>
                <w:lang w:val="en-US" w:eastAsia="zh-CN"/>
              </w:rPr>
              <w:t>序号</w:t>
            </w:r>
          </w:p>
        </w:tc>
        <w:tc>
          <w:tcPr>
            <w:tcW w:w="595"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产品名称</w:t>
            </w:r>
          </w:p>
        </w:tc>
        <w:tc>
          <w:tcPr>
            <w:tcW w:w="500" w:type="pct"/>
            <w:noWrap w:val="0"/>
            <w:vAlign w:val="center"/>
          </w:tcPr>
          <w:p>
            <w:pPr>
              <w:spacing w:line="420" w:lineRule="exact"/>
              <w:jc w:val="center"/>
              <w:rPr>
                <w:rFonts w:hint="default" w:ascii="Times New Roman" w:hAnsi="Times New Roman" w:eastAsia="宋体" w:cs="宋体"/>
                <w:color w:val="000000"/>
                <w:kern w:val="0"/>
                <w:lang w:val="en-US"/>
              </w:rPr>
            </w:pPr>
            <w:r>
              <w:rPr>
                <w:rFonts w:hint="eastAsia" w:ascii="Times New Roman" w:hAnsi="Times New Roman" w:eastAsia="宋体" w:cs="宋体"/>
                <w:color w:val="000000"/>
                <w:kern w:val="0"/>
                <w:lang w:val="en-US" w:eastAsia="zh-CN"/>
              </w:rPr>
              <w:t>年度预估使用量</w:t>
            </w:r>
          </w:p>
        </w:tc>
        <w:tc>
          <w:tcPr>
            <w:tcW w:w="3571"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复苏囊</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18</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1.产品由储气袋、硅胶面罩、氧气管组成。一体式进气阀组设计，直接连接储气袋和氧气管。硅胶面罩可高温高压灭菌，可重复使用。                                    2.型号：适用于成人，儿童、婴儿、新生儿。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59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喉镜镜筒、叶片</w:t>
            </w:r>
          </w:p>
        </w:tc>
        <w:tc>
          <w:tcPr>
            <w:tcW w:w="500"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1.产品为光纤冷光源照明，采用整块不锈钢材料一次性成型，无焊接。 喉镜叶片表面光洁。                                                                               2.光束≥5500束极光米线束，光纤导管直径≥4mm，光纤传导测量距离≥35mm。喉镜闭合/分离力范围10N-45N。喉镜闭合后缝隙≤0.28mm。                              3.规格：适用于新生儿、婴儿、儿童及成人，可根据需求选择不同规格的叶片。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轮椅</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1.车架选用高强度铝合金材料焊接而成，表面经氧化处理，采用固定扶手架，刹车采用钢质刹车结构。</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2.座垫/靠垫：采用阻燃阻燃牛津尼龙布料做成，座面平整，配独立海绵软垫。</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3.拆脚：可活动拆脚、拆装操作简易，脚踏板采用金属脚踏板，高度可调。</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4.车轮：实心橡胶轮胎，前轮配高强度塑料轮毂,前轮配置高强度铝合金前叉；后轮配手轮装置。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复苏板</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采用ABS材料制成。适用于适用于成人、儿童、婴儿。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氧气流量表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20</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1.配套设备带使用，型号包括国标、德标接口。进气口带过滤网，流量管采用双锥度设计，刻度清晰，分布均匀。流量不受出气压力影响。耐压高，能承受1MPa的压力。防喷水设计。                                                                                    2.产品可可经高温消毒。插装针阀流量调节，调节稳定，密封性好。可配雾化器等多种呼吸治疗器械。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6</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中心负压吸引器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49</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▲1.配套设备带使用，型号包括国标、德标接口。mmHg/kPa双刻度。夜光彩色真空表，读数便捷，不同负压段用颜色标识。真压表精度等级：4.0级，最大流量：70L/min。膜片稳压方式，配置正压保护安全阀。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7</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移动负压吸引器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1.产品适用于分泌物、血液等引起的阻塞吸引。手提式，体积小，重量轻，同于放置在急救车用。负压调节范围：0.02MPa～0.085MPa</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2.无油自润滑真空泵，无油雾污染，泵体为单向式，无正压产生。溢流保护装置，防止液体进入泵体。</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3.采用交流、外接直流电源（12V）和机内电池三种供电方式当电网或其原因造成停电时，交直流自动转换，不影响正常吸引，可连接车载电源使用。内置锂电池供电，充足电的蓄电池工作时间≥1小时。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人流负压吸引器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▲1.产品外壳采用冷板制作，内外表面静电喷涂。带移动脚轮，机器顶部配有托盘，备用手动开关和脚踏开关。                                                                ▲2.溢流保护装置，防止液体进入泵内；泄故阀，防止损伤粘膜。采用二级负压装置：一级负压储气，二级负压吸引。适合医疗单位对早期妊娠孕妇施行人工流产吸引等手术吸引。                                                                 3.负压调节范围：0.013～0.09MPa。吸液瓶：500ml×2。储气瓶：2500ml×2。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9</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冷光源检查灯</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▲1.照度lux≥30000，显色指数100≥Ra≥85，色温k6700≥TC≥3000，左右倾≥180°，前后倾≥180°，升降距离≥500mm。</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▲2.采用LED冷光源作为照明。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婴儿体重秤</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1.称重范围≥0-20kg，称重分度值为5g。供电方式为干电池。 具有保存和查看称量值。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11</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成人体重秤</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7</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1.秤重范围≥0-180kg，秤重分度值为50g。身高测量：机械伸缩测量身高。身高测高范围≥70-190cm，身高分度值：0.1CM。设备底座面板具有防滑防摔功能。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12</w:t>
            </w:r>
          </w:p>
        </w:tc>
        <w:tc>
          <w:tcPr>
            <w:tcW w:w="59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观片灯</w:t>
            </w:r>
          </w:p>
        </w:tc>
        <w:tc>
          <w:tcPr>
            <w:tcW w:w="500"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用于医生阅读X线胶片使用。采用铝合金型材包边，双侧边采用ABS塑料。采用不锈钢圆柱斜滚压紧式夹片装置，插片轻松、夹片牢固、取片容易。符合国家X线胶片观察灯YY/T0610-2007强制性亮度、均匀性、稳定性、色温和电器安全等标准。</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2.外型尺寸及灯源：单联≥440×570×75MM，双联≥800×570×75MM，三联≥1160×570×75MM。观片灯采用LED灯条光源，每联配备LED灯条≥6条，采用旋钮无极调光。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13</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转运急救包</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1.产品由涤纶牛津面料制成，带有侧兜，主兜内部由加厚海绵间隔，主兜尺寸≥45*30*30cm。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14</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不锈钢开口器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用于口腔手术中保持口腔开启。具有迫使或保持下颌张开的支持结构。由不锈钢材料制成，可重复使用。样式为丁字式。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15</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不锈钢压舌板</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采用不锈钢材料制成，非无菌提供，可重复使用，直型。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16</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不锈钢舌钳</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由钳喙、关节和钳柄组成。采用不锈钢材料制成，可重复使用。长度≥16cm，直型。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17</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不锈钢药膏罐</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由不锈钢材质制成；容量≥φ80×80-φ100×95mm。</w:t>
            </w:r>
          </w:p>
        </w:tc>
      </w:tr>
    </w:tbl>
    <w:p>
      <w:pPr>
        <w:widowControl/>
        <w:shd w:val="clear" w:color="auto" w:fill="FFFFFF"/>
        <w:spacing w:line="400" w:lineRule="exact"/>
        <w:jc w:val="left"/>
        <w:rPr>
          <w:rFonts w:ascii="Segoe UI" w:hAnsi="Segoe UI" w:eastAsia="宋体" w:cs="Segoe UI"/>
          <w:color w:val="333333"/>
          <w:kern w:val="0"/>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17万</w:t>
      </w:r>
      <w:r>
        <w:rPr>
          <w:rFonts w:hint="eastAsia" w:ascii="仿宋" w:hAnsi="仿宋" w:eastAsia="仿宋" w:cs="宋体"/>
          <w:color w:val="000000"/>
          <w:kern w:val="0"/>
          <w:sz w:val="28"/>
          <w:szCs w:val="28"/>
        </w:rPr>
        <w:t>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1.若产品有多种规格型号且价格不同，投标人应将所有型号分项报价。</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1.产品年度预计使用量供投标人参考，作为报价测算依据，不做其它用途使用。</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180" w:type="dxa"/>
        <w:tblInd w:w="0" w:type="dxa"/>
        <w:shd w:val="clear" w:color="auto" w:fill="FFFFFF"/>
        <w:tblLayout w:type="autofit"/>
        <w:tblCellMar>
          <w:top w:w="0" w:type="dxa"/>
          <w:left w:w="0" w:type="dxa"/>
          <w:bottom w:w="0" w:type="dxa"/>
          <w:right w:w="0" w:type="dxa"/>
        </w:tblCellMar>
      </w:tblPr>
      <w:tblGrid>
        <w:gridCol w:w="532"/>
        <w:gridCol w:w="994"/>
        <w:gridCol w:w="567"/>
        <w:gridCol w:w="4394"/>
        <w:gridCol w:w="2693"/>
      </w:tblGrid>
      <w:tr>
        <w:tblPrEx>
          <w:shd w:val="clear" w:color="auto" w:fill="FFFFFF"/>
          <w:tblCellMar>
            <w:top w:w="0" w:type="dxa"/>
            <w:left w:w="0" w:type="dxa"/>
            <w:bottom w:w="0" w:type="dxa"/>
            <w:right w:w="0" w:type="dxa"/>
          </w:tblCellMar>
        </w:tblPrEx>
        <w:trPr>
          <w:trHeight w:val="298" w:hRule="atLeast"/>
        </w:trPr>
        <w:tc>
          <w:tcPr>
            <w:tcW w:w="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序号</w:t>
            </w:r>
          </w:p>
        </w:tc>
        <w:tc>
          <w:tcPr>
            <w:tcW w:w="9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分值</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评分标准</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说</w:t>
            </w:r>
            <w:r>
              <w:rPr>
                <w:rFonts w:hint="eastAsia" w:eastAsia="仿宋" w:cs="Segoe UI" w:asciiTheme="minorEastAsia" w:hAnsiTheme="minorEastAsia"/>
                <w:b/>
                <w:color w:val="333333"/>
                <w:kern w:val="0"/>
                <w:sz w:val="24"/>
                <w:szCs w:val="24"/>
              </w:rPr>
              <w:t xml:space="preserve">  </w:t>
            </w:r>
            <w:r>
              <w:rPr>
                <w:rFonts w:hint="eastAsia" w:ascii="仿宋" w:hAnsi="仿宋" w:eastAsia="仿宋" w:cs="Segoe UI"/>
                <w:b/>
                <w:color w:val="333333"/>
                <w:kern w:val="0"/>
                <w:sz w:val="24"/>
                <w:szCs w:val="24"/>
              </w:rPr>
              <w:t>明</w:t>
            </w:r>
          </w:p>
        </w:tc>
      </w:tr>
      <w:tr>
        <w:tblPrEx>
          <w:tblCellMar>
            <w:top w:w="0" w:type="dxa"/>
            <w:left w:w="0" w:type="dxa"/>
            <w:bottom w:w="0" w:type="dxa"/>
            <w:right w:w="0" w:type="dxa"/>
          </w:tblCellMar>
        </w:tblPrEx>
        <w:trPr>
          <w:trHeight w:val="1599"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Segoe UI"/>
                <w:color w:val="000000"/>
                <w:kern w:val="0"/>
                <w:sz w:val="18"/>
                <w:szCs w:val="18"/>
              </w:rPr>
              <w:t>1</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响应材料满足磋商文件要求且以响应总价最低的为评审基准价，其价格分为30分。其他供应商的价格分统一按照以下公式计算：价格分=(评审基准价／响应总价)×30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2.响应总价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响应总价=各项材料响应单价*预估年度用量之和</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1.若同种产品有多种规格型号且涉及不同报价，供应商应全部报价；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2.响应单价为多种规格型号报价的平均价。</w:t>
            </w:r>
          </w:p>
        </w:tc>
      </w:tr>
      <w:tr>
        <w:tblPrEx>
          <w:tblCellMar>
            <w:top w:w="0" w:type="dxa"/>
            <w:left w:w="0" w:type="dxa"/>
            <w:bottom w:w="0" w:type="dxa"/>
            <w:right w:w="0" w:type="dxa"/>
          </w:tblCellMar>
        </w:tblPrEx>
        <w:trPr>
          <w:trHeight w:val="95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2</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48</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48</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完全符合招标文件技术参数要求得</w:t>
            </w:r>
            <w:r>
              <w:rPr>
                <w:rFonts w:hint="eastAsia" w:ascii="宋体" w:hAnsi="宋体" w:eastAsia="宋体" w:cs="宋体"/>
                <w:color w:val="000000"/>
                <w:kern w:val="0"/>
                <w:sz w:val="18"/>
                <w:szCs w:val="18"/>
                <w:lang w:val="en-US" w:eastAsia="zh-CN"/>
              </w:rPr>
              <w:t>48</w:t>
            </w:r>
            <w:r>
              <w:rPr>
                <w:rFonts w:hint="eastAsia" w:ascii="宋体" w:hAnsi="宋体" w:eastAsia="宋体" w:cs="宋体"/>
                <w:color w:val="000000"/>
                <w:kern w:val="0"/>
                <w:sz w:val="18"/>
                <w:szCs w:val="18"/>
              </w:rPr>
              <w:t>分。▲号条款负偏离一项扣</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分，非▲号条款负偏离一项扣</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分，扣完为止。（▲号条款共</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项，非▲号条款共</w:t>
            </w: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项）。</w:t>
            </w:r>
          </w:p>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注：（1）▲号条款需提供证明文件（按招标文件要求提供资料, ▲号条款招标文件未要求提供证明材料的，提供所投产品说明书或向社会公开的彩页资料或国家认可的合法的检测机构出具的检测报告等有效证明材料并加盖投标人公章）。（2）如技术指标在投标文件中未对应出现或在投标文件中存在自相矛</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盾之处或未提供的不得分。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r>
        <w:tblPrEx>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3</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样品评分</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提供投标产品样品，根据样品的外观、材质、性能、是否符合临床需求等综合评定，优9-12分；良得5-8分；差得1-4分；未提供样品、样品LOGO等信息遮挡不全的，不得分。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b/>
                <w:bCs/>
                <w:color w:val="000000"/>
                <w:kern w:val="0"/>
                <w:sz w:val="18"/>
                <w:szCs w:val="18"/>
              </w:rPr>
              <w:t>提供的产品样</w:t>
            </w:r>
            <w:r>
              <w:rPr>
                <w:rFonts w:hint="eastAsia" w:ascii="宋体" w:hAnsi="宋体" w:eastAsia="宋体" w:cs="宋体"/>
                <w:b/>
                <w:bCs/>
                <w:color w:val="000000"/>
                <w:kern w:val="0"/>
                <w:sz w:val="18"/>
                <w:szCs w:val="18"/>
                <w:lang w:val="en-US" w:eastAsia="zh-CN"/>
              </w:rPr>
              <w:t>品至少包含复苏囊、喉镜、氧气流量表、中心负压吸引器4种产品。</w:t>
            </w:r>
          </w:p>
        </w:tc>
      </w:tr>
      <w:tr>
        <w:tblPrEx>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4</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rPr>
              <w:t>业绩</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4</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提供响应产品2019年1月1日以来国内三甲医疗机构业绩证明，每提供1个业绩得1分，最多得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p>
            <w:pPr>
              <w:adjustRightInd w:val="0"/>
              <w:spacing w:line="400" w:lineRule="exact"/>
              <w:jc w:val="left"/>
              <w:rPr>
                <w:rFonts w:hint="eastAsia" w:ascii="宋体" w:hAnsi="宋体" w:eastAsia="宋体" w:cs="宋体"/>
                <w:color w:val="000000"/>
                <w:kern w:val="0"/>
                <w:sz w:val="18"/>
                <w:szCs w:val="18"/>
              </w:rPr>
            </w:pPr>
            <w:r>
              <w:rPr>
                <w:rFonts w:hint="eastAsia" w:ascii="宋体" w:hAnsi="宋体" w:cs="宋体"/>
                <w:color w:val="000000"/>
                <w:kern w:val="0"/>
                <w:sz w:val="18"/>
                <w:szCs w:val="18"/>
              </w:rPr>
              <w:t>注：提供销售采购合同或发票复印件加盖投标人公章。非三甲医疗机构业绩证明请勿提供。</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以下材料均可作为依据：</w:t>
            </w:r>
          </w:p>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1.合同复印件；</w:t>
            </w:r>
          </w:p>
          <w:p>
            <w:pPr>
              <w:adjustRightInd w:val="0"/>
              <w:spacing w:before="156" w:beforeLines="50" w:after="156" w:afterLines="50" w:line="400" w:lineRule="exact"/>
              <w:jc w:val="left"/>
              <w:rPr>
                <w:rFonts w:hint="eastAsia" w:ascii="宋体" w:hAnsi="宋体" w:eastAsia="宋体" w:cs="宋体"/>
                <w:b/>
                <w:bCs/>
                <w:color w:val="000000"/>
                <w:kern w:val="0"/>
                <w:sz w:val="18"/>
                <w:szCs w:val="18"/>
              </w:rPr>
            </w:pPr>
            <w:r>
              <w:rPr>
                <w:rFonts w:hint="eastAsia" w:ascii="宋体" w:hAnsi="宋体" w:cs="宋体"/>
                <w:color w:val="000000"/>
                <w:kern w:val="0"/>
                <w:sz w:val="18"/>
                <w:szCs w:val="18"/>
              </w:rPr>
              <w:t>2.发票复印件（若发票复印件上无产品明细则需附销货清单）；</w:t>
            </w:r>
          </w:p>
        </w:tc>
      </w:tr>
      <w:tr>
        <w:tblPrEx>
          <w:shd w:val="clear" w:color="auto" w:fill="FFFFFF"/>
          <w:tblCellMar>
            <w:top w:w="0" w:type="dxa"/>
            <w:left w:w="0" w:type="dxa"/>
            <w:bottom w:w="0" w:type="dxa"/>
            <w:right w:w="0" w:type="dxa"/>
          </w:tblCellMar>
        </w:tblPrEx>
        <w:trPr>
          <w:trHeight w:val="1256" w:hRule="atLeast"/>
        </w:trPr>
        <w:tc>
          <w:tcPr>
            <w:tcW w:w="5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5</w:t>
            </w:r>
          </w:p>
        </w:tc>
        <w:tc>
          <w:tcPr>
            <w:tcW w:w="9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售后服务方案</w:t>
            </w:r>
          </w:p>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p>
        </w:tc>
        <w:tc>
          <w:tcPr>
            <w:tcW w:w="43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根据供应商提供的售后服务方案，包含：①质量保障方案；②技术支持方案；③应急方案；④服务响应方案。方案包含以上4个方面的得</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分，每缺少一项的扣</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分，每有一项存在内容缺陷扣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分，扣完为止。</w:t>
            </w:r>
          </w:p>
          <w:p>
            <w:pPr>
              <w:adjustRightInd w:val="0"/>
              <w:spacing w:line="400" w:lineRule="exact"/>
              <w:jc w:val="left"/>
              <w:rPr>
                <w:rFonts w:hint="eastAsia" w:ascii="仿宋" w:hAnsi="仿宋" w:eastAsia="仿宋" w:cs="宋体"/>
                <w:color w:val="000000"/>
                <w:kern w:val="0"/>
                <w:sz w:val="22"/>
              </w:rPr>
            </w:pPr>
            <w:r>
              <w:rPr>
                <w:rFonts w:hint="eastAsia" w:ascii="宋体" w:hAnsi="宋体" w:cs="宋体"/>
                <w:color w:val="000000"/>
                <w:kern w:val="0"/>
                <w:sz w:val="18"/>
                <w:szCs w:val="18"/>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974"/>
        <w:gridCol w:w="567"/>
        <w:gridCol w:w="127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成交单价（元）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年度预计用量(个)</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bookmarkStart w:id="1" w:name="_GoBack"/>
            <w:bookmarkEnd w:id="1"/>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31F69B4"/>
    <w:rsid w:val="09883DB3"/>
    <w:rsid w:val="1A707F41"/>
    <w:rsid w:val="1DE05766"/>
    <w:rsid w:val="1E997E27"/>
    <w:rsid w:val="21C85B80"/>
    <w:rsid w:val="22827069"/>
    <w:rsid w:val="25933A00"/>
    <w:rsid w:val="29392A52"/>
    <w:rsid w:val="395149AF"/>
    <w:rsid w:val="3FE620CF"/>
    <w:rsid w:val="498F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2022-12-22T07:18:00Z</cp:lastPrinted>
  <dcterms:modified xsi:type="dcterms:W3CDTF">2022-12-27T01:04:23Z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